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B612C3" w14:textId="77777777" w:rsidR="00487605" w:rsidRDefault="00487605">
      <w:pPr>
        <w:spacing w:after="40" w:line="312" w:lineRule="auto"/>
        <w:jc w:val="center"/>
        <w:rPr>
          <w:rFonts w:ascii="Times New Roman" w:eastAsia="Times New Roman" w:hAnsi="Times New Roman" w:cs="Times New Roman"/>
          <w:b/>
          <w:sz w:val="28"/>
        </w:rPr>
      </w:pPr>
    </w:p>
    <w:p w14:paraId="33FA6B27" w14:textId="77777777" w:rsidR="00487605" w:rsidRDefault="00487605">
      <w:pPr>
        <w:spacing w:after="40" w:line="312" w:lineRule="auto"/>
        <w:jc w:val="center"/>
        <w:rPr>
          <w:rFonts w:ascii="Times New Roman" w:eastAsia="Times New Roman" w:hAnsi="Times New Roman" w:cs="Times New Roman"/>
          <w:b/>
          <w:sz w:val="28"/>
        </w:rPr>
      </w:pPr>
    </w:p>
    <w:p w14:paraId="28ED865E" w14:textId="77777777" w:rsidR="00487605" w:rsidRDefault="00000000">
      <w:pPr>
        <w:spacing w:after="40" w:line="312"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 xml:space="preserve">COMUNICAT DE PRESĂ </w:t>
      </w:r>
    </w:p>
    <w:p w14:paraId="3B489DC3" w14:textId="77777777" w:rsidR="00487605" w:rsidRDefault="00487605">
      <w:pPr>
        <w:spacing w:after="40" w:line="312" w:lineRule="auto"/>
        <w:jc w:val="center"/>
        <w:rPr>
          <w:rFonts w:ascii="Times New Roman" w:eastAsia="Times New Roman" w:hAnsi="Times New Roman" w:cs="Times New Roman"/>
          <w:b/>
          <w:sz w:val="28"/>
        </w:rPr>
      </w:pPr>
    </w:p>
    <w:p w14:paraId="6BD924F8" w14:textId="77777777" w:rsidR="00487605" w:rsidRDefault="00000000">
      <w:pPr>
        <w:spacing w:after="40" w:line="312" w:lineRule="auto"/>
        <w:jc w:val="both"/>
        <w:rPr>
          <w:rFonts w:ascii="Times New Roman" w:eastAsia="Times New Roman" w:hAnsi="Times New Roman" w:cs="Times New Roman"/>
          <w:b/>
          <w:sz w:val="28"/>
        </w:rPr>
      </w:pPr>
      <w:r>
        <w:rPr>
          <w:rFonts w:ascii="Times New Roman" w:eastAsia="Times New Roman" w:hAnsi="Times New Roman" w:cs="Times New Roman"/>
          <w:b/>
          <w:sz w:val="28"/>
        </w:rPr>
        <w:t>Sinteza verificării Corpului de Control al Prim-Ministrului privind activitatea "Nuclearelectrica" S.A. în vederea implementării proiectului pentru dezvoltarea reactoarelor modulare mici în România</w:t>
      </w:r>
    </w:p>
    <w:p w14:paraId="046C23DA" w14:textId="77777777" w:rsidR="00487605" w:rsidRDefault="00487605">
      <w:pPr>
        <w:spacing w:after="40" w:line="312" w:lineRule="auto"/>
        <w:rPr>
          <w:rFonts w:ascii="Times New Roman" w:eastAsia="Times New Roman" w:hAnsi="Times New Roman" w:cs="Times New Roman"/>
          <w:b/>
          <w:sz w:val="28"/>
        </w:rPr>
      </w:pPr>
    </w:p>
    <w:p w14:paraId="43A80915" w14:textId="77777777" w:rsidR="00487605" w:rsidRDefault="00000000">
      <w:pPr>
        <w:spacing w:after="40" w:line="312" w:lineRule="auto"/>
        <w:jc w:val="both"/>
        <w:rPr>
          <w:rFonts w:ascii="Times New Roman" w:eastAsia="Times New Roman" w:hAnsi="Times New Roman" w:cs="Times New Roman"/>
          <w:sz w:val="28"/>
        </w:rPr>
      </w:pPr>
      <w:r>
        <w:rPr>
          <w:rFonts w:ascii="Times New Roman" w:eastAsia="Times New Roman" w:hAnsi="Times New Roman" w:cs="Times New Roman"/>
          <w:sz w:val="28"/>
        </w:rPr>
        <w:t>Corpul de Control al Prim-Ministrului a finalizat acțiunea de control efectuată la Societatea Națională "Nuclearelectrica" S.A.</w:t>
      </w:r>
    </w:p>
    <w:p w14:paraId="20714EE3" w14:textId="77777777" w:rsidR="00487605" w:rsidRDefault="00000000">
      <w:pPr>
        <w:spacing w:after="40" w:line="312" w:lineRule="auto"/>
        <w:jc w:val="both"/>
        <w:rPr>
          <w:rFonts w:ascii="Times New Roman" w:eastAsia="Times New Roman" w:hAnsi="Times New Roman" w:cs="Times New Roman"/>
          <w:sz w:val="28"/>
        </w:rPr>
      </w:pPr>
      <w:r>
        <w:rPr>
          <w:rFonts w:ascii="Times New Roman" w:eastAsia="Times New Roman" w:hAnsi="Times New Roman" w:cs="Times New Roman"/>
          <w:sz w:val="28"/>
        </w:rPr>
        <w:t>Acțiunea a avut ca obiectiv verificarea activității efectuate la nivelul societății în vederea implementării proiectului pentru dezvoltarea reactoarelor modulare mici în România.</w:t>
      </w:r>
    </w:p>
    <w:p w14:paraId="35EC0F4A" w14:textId="77777777" w:rsidR="00487605" w:rsidRDefault="00487605">
      <w:pPr>
        <w:spacing w:after="40" w:line="312" w:lineRule="auto"/>
        <w:jc w:val="both"/>
        <w:rPr>
          <w:rFonts w:ascii="Times New Roman" w:eastAsia="Times New Roman" w:hAnsi="Times New Roman" w:cs="Times New Roman"/>
          <w:b/>
          <w:sz w:val="28"/>
        </w:rPr>
      </w:pPr>
    </w:p>
    <w:p w14:paraId="3C1365E5" w14:textId="77777777" w:rsidR="00487605" w:rsidRDefault="00000000">
      <w:pPr>
        <w:spacing w:after="40" w:line="312" w:lineRule="auto"/>
        <w:rPr>
          <w:rFonts w:ascii="Times New Roman" w:eastAsia="Times New Roman" w:hAnsi="Times New Roman" w:cs="Times New Roman"/>
          <w:sz w:val="28"/>
        </w:rPr>
      </w:pPr>
      <w:r>
        <w:rPr>
          <w:rFonts w:ascii="Times New Roman" w:eastAsia="Times New Roman" w:hAnsi="Times New Roman" w:cs="Times New Roman"/>
          <w:sz w:val="28"/>
        </w:rPr>
        <w:t xml:space="preserve">Sinteza acțiunii de control poate fi consultată la acest link: </w:t>
      </w:r>
      <w:hyperlink r:id="rId5">
        <w:r>
          <w:rPr>
            <w:rFonts w:ascii="Times New Roman" w:eastAsia="Times New Roman" w:hAnsi="Times New Roman" w:cs="Times New Roman"/>
            <w:color w:val="0000FF"/>
            <w:sz w:val="28"/>
            <w:u w:val="single"/>
          </w:rPr>
          <w:t>https://control.gov.ro/ro/sinteza-raportului-de-control-efectuat-la-societatea-nationala-nuclearelectrica-s-a/</w:t>
        </w:r>
      </w:hyperlink>
    </w:p>
    <w:p w14:paraId="4F38DE21" w14:textId="77777777" w:rsidR="00487605" w:rsidRDefault="00487605">
      <w:pPr>
        <w:spacing w:after="40" w:line="312" w:lineRule="auto"/>
        <w:rPr>
          <w:rFonts w:ascii="Times New Roman" w:eastAsia="Times New Roman" w:hAnsi="Times New Roman" w:cs="Times New Roman"/>
          <w:b/>
          <w:sz w:val="28"/>
        </w:rPr>
      </w:pPr>
    </w:p>
    <w:p w14:paraId="53AE6CF5" w14:textId="77777777" w:rsidR="00487605" w:rsidRDefault="00000000">
      <w:pPr>
        <w:spacing w:after="40" w:line="312" w:lineRule="auto"/>
        <w:jc w:val="both"/>
        <w:rPr>
          <w:rFonts w:ascii="Times New Roman" w:eastAsia="Times New Roman" w:hAnsi="Times New Roman" w:cs="Times New Roman"/>
          <w:b/>
          <w:sz w:val="28"/>
        </w:rPr>
      </w:pPr>
      <w:r>
        <w:rPr>
          <w:rFonts w:ascii="Times New Roman" w:eastAsia="Times New Roman" w:hAnsi="Times New Roman" w:cs="Times New Roman"/>
          <w:b/>
          <w:sz w:val="28"/>
        </w:rPr>
        <w:t>Achiziția terenului pentru proiectul nuclear de la Doicești</w:t>
      </w:r>
    </w:p>
    <w:p w14:paraId="6596CC17" w14:textId="77777777" w:rsidR="00487605" w:rsidRDefault="00000000">
      <w:pPr>
        <w:spacing w:after="40" w:line="312" w:lineRule="auto"/>
        <w:jc w:val="both"/>
        <w:rPr>
          <w:rFonts w:ascii="Times New Roman" w:eastAsia="Times New Roman" w:hAnsi="Times New Roman" w:cs="Times New Roman"/>
          <w:sz w:val="28"/>
        </w:rPr>
      </w:pPr>
      <w:r>
        <w:rPr>
          <w:rFonts w:ascii="Times New Roman" w:eastAsia="Times New Roman" w:hAnsi="Times New Roman" w:cs="Times New Roman"/>
          <w:b/>
          <w:sz w:val="28"/>
        </w:rPr>
        <w:t xml:space="preserve"> cronologie și cifre</w:t>
      </w:r>
    </w:p>
    <w:p w14:paraId="65208D6F" w14:textId="77777777" w:rsidR="00487605" w:rsidRDefault="00000000">
      <w:pPr>
        <w:spacing w:after="140" w:line="312" w:lineRule="auto"/>
        <w:jc w:val="center"/>
        <w:rPr>
          <w:rFonts w:ascii="Times New Roman" w:eastAsia="Times New Roman" w:hAnsi="Times New Roman" w:cs="Times New Roman"/>
          <w:sz w:val="28"/>
        </w:rPr>
      </w:pPr>
      <w:r>
        <w:rPr>
          <w:rFonts w:ascii="Times New Roman" w:eastAsia="Times New Roman" w:hAnsi="Times New Roman" w:cs="Times New Roman"/>
          <w:sz w:val="28"/>
        </w:rPr>
        <w:t xml:space="preserve"> </w:t>
      </w:r>
    </w:p>
    <w:tbl>
      <w:tblPr>
        <w:tblW w:w="0" w:type="auto"/>
        <w:tblInd w:w="80" w:type="dxa"/>
        <w:tblCellMar>
          <w:left w:w="10" w:type="dxa"/>
          <w:right w:w="10" w:type="dxa"/>
        </w:tblCellMar>
        <w:tblLook w:val="04A0" w:firstRow="1" w:lastRow="0" w:firstColumn="1" w:lastColumn="0" w:noHBand="0" w:noVBand="1"/>
      </w:tblPr>
      <w:tblGrid>
        <w:gridCol w:w="558"/>
        <w:gridCol w:w="1599"/>
        <w:gridCol w:w="5662"/>
        <w:gridCol w:w="1451"/>
      </w:tblGrid>
      <w:tr w:rsidR="00487605" w14:paraId="5B67E7AA" w14:textId="77777777">
        <w:tblPrEx>
          <w:tblCellMar>
            <w:top w:w="0" w:type="dxa"/>
            <w:bottom w:w="0" w:type="dxa"/>
          </w:tblCellMar>
        </w:tblPrEx>
        <w:tc>
          <w:tcPr>
            <w:tcW w:w="562"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vAlign w:val="center"/>
          </w:tcPr>
          <w:p w14:paraId="2CDEB790" w14:textId="77777777" w:rsidR="00487605" w:rsidRDefault="00000000">
            <w:pPr>
              <w:spacing w:after="0" w:line="248" w:lineRule="auto"/>
              <w:jc w:val="center"/>
            </w:pPr>
            <w:r>
              <w:rPr>
                <w:rFonts w:ascii="Times New Roman" w:eastAsia="Times New Roman" w:hAnsi="Times New Roman" w:cs="Times New Roman"/>
                <w:b/>
                <w:sz w:val="28"/>
              </w:rPr>
              <w:t>Nr.</w:t>
            </w:r>
          </w:p>
        </w:tc>
        <w:tc>
          <w:tcPr>
            <w:tcW w:w="1630"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vAlign w:val="center"/>
          </w:tcPr>
          <w:p w14:paraId="7734D9CA" w14:textId="77777777" w:rsidR="00487605" w:rsidRDefault="00000000">
            <w:pPr>
              <w:spacing w:after="0" w:line="248" w:lineRule="auto"/>
              <w:jc w:val="center"/>
            </w:pPr>
            <w:r>
              <w:rPr>
                <w:rFonts w:ascii="Times New Roman" w:eastAsia="Times New Roman" w:hAnsi="Times New Roman" w:cs="Times New Roman"/>
                <w:b/>
                <w:sz w:val="28"/>
              </w:rPr>
              <w:t>Data</w:t>
            </w:r>
          </w:p>
        </w:tc>
        <w:tc>
          <w:tcPr>
            <w:tcW w:w="6242"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vAlign w:val="center"/>
          </w:tcPr>
          <w:p w14:paraId="4194095A" w14:textId="77777777" w:rsidR="00487605" w:rsidRDefault="00000000">
            <w:pPr>
              <w:spacing w:after="0" w:line="248" w:lineRule="auto"/>
              <w:jc w:val="center"/>
            </w:pPr>
            <w:r>
              <w:rPr>
                <w:rFonts w:ascii="Times New Roman" w:eastAsia="Times New Roman" w:hAnsi="Times New Roman" w:cs="Times New Roman"/>
                <w:b/>
                <w:sz w:val="28"/>
              </w:rPr>
              <w:t>Eveniment</w:t>
            </w:r>
          </w:p>
        </w:tc>
        <w:tc>
          <w:tcPr>
            <w:tcW w:w="1390"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vAlign w:val="center"/>
          </w:tcPr>
          <w:p w14:paraId="67379BFB" w14:textId="77777777" w:rsidR="00487605" w:rsidRDefault="00000000">
            <w:pPr>
              <w:spacing w:after="0" w:line="248" w:lineRule="auto"/>
              <w:jc w:val="center"/>
            </w:pPr>
            <w:r>
              <w:rPr>
                <w:rFonts w:ascii="Times New Roman" w:eastAsia="Times New Roman" w:hAnsi="Times New Roman" w:cs="Times New Roman"/>
                <w:b/>
                <w:sz w:val="28"/>
              </w:rPr>
              <w:t>Valoare</w:t>
            </w:r>
          </w:p>
        </w:tc>
      </w:tr>
      <w:tr w:rsidR="00487605" w14:paraId="4B4CE97F" w14:textId="77777777">
        <w:tblPrEx>
          <w:tblCellMar>
            <w:top w:w="0" w:type="dxa"/>
            <w:bottom w:w="0" w:type="dxa"/>
          </w:tblCellMar>
        </w:tblPrEx>
        <w:tc>
          <w:tcPr>
            <w:tcW w:w="562"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vAlign w:val="center"/>
          </w:tcPr>
          <w:p w14:paraId="3C2F4BC9" w14:textId="77777777" w:rsidR="00487605" w:rsidRDefault="00000000">
            <w:pPr>
              <w:spacing w:after="0" w:line="248" w:lineRule="auto"/>
              <w:jc w:val="center"/>
            </w:pPr>
            <w:r>
              <w:rPr>
                <w:rFonts w:ascii="Times New Roman" w:eastAsia="Times New Roman" w:hAnsi="Times New Roman" w:cs="Times New Roman"/>
                <w:sz w:val="28"/>
              </w:rPr>
              <w:t>1</w:t>
            </w:r>
          </w:p>
        </w:tc>
        <w:tc>
          <w:tcPr>
            <w:tcW w:w="1630"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vAlign w:val="center"/>
          </w:tcPr>
          <w:p w14:paraId="7D7B2E7D" w14:textId="77777777" w:rsidR="00487605" w:rsidRDefault="00000000">
            <w:pPr>
              <w:spacing w:after="0" w:line="248" w:lineRule="auto"/>
            </w:pPr>
            <w:r>
              <w:rPr>
                <w:rFonts w:ascii="Times New Roman" w:eastAsia="Times New Roman" w:hAnsi="Times New Roman" w:cs="Times New Roman"/>
                <w:sz w:val="28"/>
              </w:rPr>
              <w:t>13.09.2019</w:t>
            </w:r>
          </w:p>
        </w:tc>
        <w:tc>
          <w:tcPr>
            <w:tcW w:w="6242"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vAlign w:val="center"/>
          </w:tcPr>
          <w:p w14:paraId="79B374C2" w14:textId="77777777" w:rsidR="00487605" w:rsidRDefault="00000000">
            <w:pPr>
              <w:spacing w:after="0" w:line="248" w:lineRule="auto"/>
              <w:jc w:val="both"/>
            </w:pPr>
            <w:r>
              <w:rPr>
                <w:rFonts w:ascii="Times New Roman" w:eastAsia="Times New Roman" w:hAnsi="Times New Roman" w:cs="Times New Roman"/>
                <w:sz w:val="28"/>
              </w:rPr>
              <w:t>GECO Garden Pub SRL cumpără întregul sit al fostei termocentrale Doicești de la Termoelectrica SA (aflată în insolvență), după mai multe ședințe de licitație anterior derulate, în care imobilul nu fusese adjudecat.</w:t>
            </w:r>
          </w:p>
        </w:tc>
        <w:tc>
          <w:tcPr>
            <w:tcW w:w="1390"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vAlign w:val="center"/>
          </w:tcPr>
          <w:p w14:paraId="74932059" w14:textId="77777777" w:rsidR="00487605" w:rsidRDefault="00000000">
            <w:pPr>
              <w:spacing w:after="0" w:line="248" w:lineRule="auto"/>
            </w:pPr>
            <w:r>
              <w:rPr>
                <w:rFonts w:ascii="Times New Roman" w:eastAsia="Times New Roman" w:hAnsi="Times New Roman" w:cs="Times New Roman"/>
                <w:sz w:val="28"/>
              </w:rPr>
              <w:t>5,39 mil. € (cu TVA)</w:t>
            </w:r>
          </w:p>
        </w:tc>
      </w:tr>
      <w:tr w:rsidR="00487605" w14:paraId="43E90B5B" w14:textId="77777777">
        <w:tblPrEx>
          <w:tblCellMar>
            <w:top w:w="0" w:type="dxa"/>
            <w:bottom w:w="0" w:type="dxa"/>
          </w:tblCellMar>
        </w:tblPrEx>
        <w:tc>
          <w:tcPr>
            <w:tcW w:w="562"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vAlign w:val="center"/>
          </w:tcPr>
          <w:p w14:paraId="60A68E04" w14:textId="77777777" w:rsidR="00487605" w:rsidRDefault="00000000">
            <w:pPr>
              <w:spacing w:after="0" w:line="248" w:lineRule="auto"/>
              <w:jc w:val="center"/>
            </w:pPr>
            <w:r>
              <w:rPr>
                <w:rFonts w:ascii="Times New Roman" w:eastAsia="Times New Roman" w:hAnsi="Times New Roman" w:cs="Times New Roman"/>
                <w:sz w:val="28"/>
              </w:rPr>
              <w:t>2</w:t>
            </w:r>
          </w:p>
        </w:tc>
        <w:tc>
          <w:tcPr>
            <w:tcW w:w="1630"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vAlign w:val="center"/>
          </w:tcPr>
          <w:p w14:paraId="70A32A55" w14:textId="77777777" w:rsidR="00487605" w:rsidRDefault="00000000">
            <w:pPr>
              <w:spacing w:after="0" w:line="248" w:lineRule="auto"/>
            </w:pPr>
            <w:r>
              <w:rPr>
                <w:rFonts w:ascii="Times New Roman" w:eastAsia="Times New Roman" w:hAnsi="Times New Roman" w:cs="Times New Roman"/>
                <w:sz w:val="28"/>
              </w:rPr>
              <w:t>06.05.2021</w:t>
            </w:r>
          </w:p>
        </w:tc>
        <w:tc>
          <w:tcPr>
            <w:tcW w:w="6242"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vAlign w:val="center"/>
          </w:tcPr>
          <w:p w14:paraId="3E9BFAE3" w14:textId="77777777" w:rsidR="00487605" w:rsidRDefault="00000000">
            <w:pPr>
              <w:spacing w:after="0" w:line="248" w:lineRule="auto"/>
              <w:jc w:val="both"/>
            </w:pPr>
            <w:r>
              <w:rPr>
                <w:rFonts w:ascii="Times New Roman" w:eastAsia="Times New Roman" w:hAnsi="Times New Roman" w:cs="Times New Roman"/>
                <w:sz w:val="28"/>
              </w:rPr>
              <w:t xml:space="preserve">Cu o finanțare de 1,2 mil. USD de la agenția americană USTDA, Nuclearelectrica (SNN) demarează studiul de selecție a amplasamentului (prin intermediul consultantului american Sargent </w:t>
            </w:r>
            <w:r>
              <w:rPr>
                <w:rFonts w:ascii="Times New Roman" w:eastAsia="Times New Roman" w:hAnsi="Times New Roman" w:cs="Times New Roman"/>
                <w:sz w:val="28"/>
              </w:rPr>
              <w:lastRenderedPageBreak/>
              <w:t>&amp; Lundy); documentarea siturilor o face CITON (RATEN-CITON), subcontractant.</w:t>
            </w:r>
          </w:p>
        </w:tc>
        <w:tc>
          <w:tcPr>
            <w:tcW w:w="1390"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vAlign w:val="center"/>
          </w:tcPr>
          <w:p w14:paraId="00F4A19F" w14:textId="77777777" w:rsidR="00487605" w:rsidRDefault="00000000">
            <w:pPr>
              <w:spacing w:after="0" w:line="248" w:lineRule="auto"/>
            </w:pPr>
            <w:r>
              <w:rPr>
                <w:rFonts w:ascii="Times New Roman" w:eastAsia="Times New Roman" w:hAnsi="Times New Roman" w:cs="Times New Roman"/>
                <w:sz w:val="28"/>
              </w:rPr>
              <w:lastRenderedPageBreak/>
              <w:t>-</w:t>
            </w:r>
          </w:p>
        </w:tc>
      </w:tr>
      <w:tr w:rsidR="00487605" w14:paraId="1036709E" w14:textId="77777777">
        <w:tblPrEx>
          <w:tblCellMar>
            <w:top w:w="0" w:type="dxa"/>
            <w:bottom w:w="0" w:type="dxa"/>
          </w:tblCellMar>
        </w:tblPrEx>
        <w:tc>
          <w:tcPr>
            <w:tcW w:w="562"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vAlign w:val="center"/>
          </w:tcPr>
          <w:p w14:paraId="5E657D8C" w14:textId="77777777" w:rsidR="00487605" w:rsidRDefault="00000000">
            <w:pPr>
              <w:spacing w:after="0" w:line="248" w:lineRule="auto"/>
              <w:jc w:val="center"/>
            </w:pPr>
            <w:r>
              <w:rPr>
                <w:rFonts w:ascii="Times New Roman" w:eastAsia="Times New Roman" w:hAnsi="Times New Roman" w:cs="Times New Roman"/>
                <w:sz w:val="28"/>
              </w:rPr>
              <w:t>3</w:t>
            </w:r>
          </w:p>
        </w:tc>
        <w:tc>
          <w:tcPr>
            <w:tcW w:w="1630"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vAlign w:val="center"/>
          </w:tcPr>
          <w:p w14:paraId="768E40D8" w14:textId="77777777" w:rsidR="00487605" w:rsidRDefault="00000000">
            <w:pPr>
              <w:spacing w:after="0" w:line="248" w:lineRule="auto"/>
            </w:pPr>
            <w:r>
              <w:rPr>
                <w:rFonts w:ascii="Times New Roman" w:eastAsia="Times New Roman" w:hAnsi="Times New Roman" w:cs="Times New Roman"/>
                <w:sz w:val="28"/>
              </w:rPr>
              <w:t>24.05.2021</w:t>
            </w:r>
          </w:p>
        </w:tc>
        <w:tc>
          <w:tcPr>
            <w:tcW w:w="6242"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vAlign w:val="center"/>
          </w:tcPr>
          <w:p w14:paraId="4A5A8844" w14:textId="77777777" w:rsidR="00487605" w:rsidRDefault="00000000">
            <w:pPr>
              <w:spacing w:after="0" w:line="248" w:lineRule="auto"/>
              <w:jc w:val="both"/>
            </w:pPr>
            <w:r>
              <w:rPr>
                <w:rFonts w:ascii="Times New Roman" w:eastAsia="Times New Roman" w:hAnsi="Times New Roman" w:cs="Times New Roman"/>
                <w:sz w:val="28"/>
              </w:rPr>
              <w:t>Nova Power &amp; Gas (Nova) începe preluarea terenului de la Doicești, pe baza Promisiunii de vânzare a GECO.</w:t>
            </w:r>
          </w:p>
        </w:tc>
        <w:tc>
          <w:tcPr>
            <w:tcW w:w="1390"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vAlign w:val="center"/>
          </w:tcPr>
          <w:p w14:paraId="0E2A84D4" w14:textId="77777777" w:rsidR="00487605" w:rsidRDefault="00000000">
            <w:pPr>
              <w:spacing w:after="0" w:line="248" w:lineRule="auto"/>
            </w:pPr>
            <w:r>
              <w:rPr>
                <w:rFonts w:ascii="Times New Roman" w:eastAsia="Times New Roman" w:hAnsi="Times New Roman" w:cs="Times New Roman"/>
                <w:sz w:val="28"/>
              </w:rPr>
              <w:t>-</w:t>
            </w:r>
          </w:p>
        </w:tc>
      </w:tr>
      <w:tr w:rsidR="00487605" w14:paraId="21074D82" w14:textId="77777777">
        <w:tblPrEx>
          <w:tblCellMar>
            <w:top w:w="0" w:type="dxa"/>
            <w:bottom w:w="0" w:type="dxa"/>
          </w:tblCellMar>
        </w:tblPrEx>
        <w:tc>
          <w:tcPr>
            <w:tcW w:w="562"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vAlign w:val="center"/>
          </w:tcPr>
          <w:p w14:paraId="138B0856" w14:textId="77777777" w:rsidR="00487605" w:rsidRDefault="00000000">
            <w:pPr>
              <w:spacing w:after="0" w:line="248" w:lineRule="auto"/>
              <w:jc w:val="center"/>
            </w:pPr>
            <w:r>
              <w:rPr>
                <w:rFonts w:ascii="Times New Roman" w:eastAsia="Times New Roman" w:hAnsi="Times New Roman" w:cs="Times New Roman"/>
                <w:sz w:val="28"/>
              </w:rPr>
              <w:t>4</w:t>
            </w:r>
          </w:p>
        </w:tc>
        <w:tc>
          <w:tcPr>
            <w:tcW w:w="1630"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vAlign w:val="center"/>
          </w:tcPr>
          <w:p w14:paraId="57CB81CA" w14:textId="77777777" w:rsidR="00487605" w:rsidRDefault="00000000">
            <w:pPr>
              <w:spacing w:after="0" w:line="248" w:lineRule="auto"/>
            </w:pPr>
            <w:r>
              <w:rPr>
                <w:rFonts w:ascii="Times New Roman" w:eastAsia="Times New Roman" w:hAnsi="Times New Roman" w:cs="Times New Roman"/>
                <w:sz w:val="28"/>
              </w:rPr>
              <w:t>04.11.2021</w:t>
            </w:r>
          </w:p>
        </w:tc>
        <w:tc>
          <w:tcPr>
            <w:tcW w:w="6242"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vAlign w:val="center"/>
          </w:tcPr>
          <w:p w14:paraId="353F0537" w14:textId="77777777" w:rsidR="00487605" w:rsidRDefault="00000000">
            <w:pPr>
              <w:spacing w:after="0" w:line="248" w:lineRule="auto"/>
              <w:jc w:val="both"/>
            </w:pPr>
            <w:r>
              <w:rPr>
                <w:rFonts w:ascii="Times New Roman" w:eastAsia="Times New Roman" w:hAnsi="Times New Roman" w:cs="Times New Roman"/>
                <w:sz w:val="28"/>
              </w:rPr>
              <w:t>La COP26 (Glasgow), Nuclearelectrica și NuScale anunță parteneriatul pentru primul SMR (reactor modular mic) din Europa, fără a numi încă amplasamentul.</w:t>
            </w:r>
          </w:p>
        </w:tc>
        <w:tc>
          <w:tcPr>
            <w:tcW w:w="1390"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vAlign w:val="center"/>
          </w:tcPr>
          <w:p w14:paraId="4DB7D8DC" w14:textId="77777777" w:rsidR="00487605" w:rsidRDefault="00000000">
            <w:pPr>
              <w:spacing w:after="0" w:line="248" w:lineRule="auto"/>
            </w:pPr>
            <w:r>
              <w:rPr>
                <w:rFonts w:ascii="Times New Roman" w:eastAsia="Times New Roman" w:hAnsi="Times New Roman" w:cs="Times New Roman"/>
                <w:sz w:val="28"/>
              </w:rPr>
              <w:t>-</w:t>
            </w:r>
          </w:p>
        </w:tc>
      </w:tr>
      <w:tr w:rsidR="00487605" w14:paraId="14C983DB" w14:textId="77777777">
        <w:tblPrEx>
          <w:tblCellMar>
            <w:top w:w="0" w:type="dxa"/>
            <w:bottom w:w="0" w:type="dxa"/>
          </w:tblCellMar>
        </w:tblPrEx>
        <w:tc>
          <w:tcPr>
            <w:tcW w:w="562"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vAlign w:val="center"/>
          </w:tcPr>
          <w:p w14:paraId="3035490C" w14:textId="77777777" w:rsidR="00487605" w:rsidRDefault="00000000">
            <w:pPr>
              <w:spacing w:after="0" w:line="248" w:lineRule="auto"/>
              <w:jc w:val="center"/>
            </w:pPr>
            <w:r>
              <w:rPr>
                <w:rFonts w:ascii="Times New Roman" w:eastAsia="Times New Roman" w:hAnsi="Times New Roman" w:cs="Times New Roman"/>
                <w:sz w:val="28"/>
              </w:rPr>
              <w:t>5</w:t>
            </w:r>
          </w:p>
        </w:tc>
        <w:tc>
          <w:tcPr>
            <w:tcW w:w="1630"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vAlign w:val="center"/>
          </w:tcPr>
          <w:p w14:paraId="07401C84" w14:textId="77777777" w:rsidR="00487605" w:rsidRDefault="00000000">
            <w:pPr>
              <w:spacing w:after="0" w:line="248" w:lineRule="auto"/>
            </w:pPr>
            <w:r>
              <w:rPr>
                <w:rFonts w:ascii="Times New Roman" w:eastAsia="Times New Roman" w:hAnsi="Times New Roman" w:cs="Times New Roman"/>
                <w:sz w:val="28"/>
              </w:rPr>
              <w:t>23.12.2021</w:t>
            </w:r>
          </w:p>
        </w:tc>
        <w:tc>
          <w:tcPr>
            <w:tcW w:w="6242"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vAlign w:val="center"/>
          </w:tcPr>
          <w:p w14:paraId="4192AE8C" w14:textId="77777777" w:rsidR="00487605" w:rsidRDefault="00000000">
            <w:pPr>
              <w:spacing w:after="0" w:line="248" w:lineRule="auto"/>
              <w:jc w:val="both"/>
            </w:pPr>
            <w:r>
              <w:rPr>
                <w:rFonts w:ascii="Times New Roman" w:eastAsia="Times New Roman" w:hAnsi="Times New Roman" w:cs="Times New Roman"/>
                <w:sz w:val="28"/>
              </w:rPr>
              <w:t>Nova cumpără de la GECO întregul teren - 170,59 ha (Contractul nr. 5073), la un preț agreat de 7,3 mil. €. Plătește efectiv doar 3,8 mil. €, întrucât vânzătorul GECO nu execută demolările promise și pierde restul prețului (</w:t>
            </w:r>
            <w:r>
              <w:rPr>
                <w:rFonts w:ascii="Times New Roman" w:eastAsia="Times New Roman" w:hAnsi="Times New Roman" w:cs="Times New Roman"/>
                <w:sz w:val="28"/>
                <w:u w:val="single"/>
              </w:rPr>
              <w:t>Nova preia obligația de demolare și nu achită restul prețului)</w:t>
            </w:r>
            <w:r>
              <w:rPr>
                <w:rFonts w:ascii="Times New Roman" w:eastAsia="Times New Roman" w:hAnsi="Times New Roman" w:cs="Times New Roman"/>
                <w:sz w:val="28"/>
              </w:rPr>
              <w:t>. Astfel, partea pe care se va construi centrala (~52 ha) o costă pe Nova 2,8 mil. €.</w:t>
            </w:r>
          </w:p>
        </w:tc>
        <w:tc>
          <w:tcPr>
            <w:tcW w:w="1390"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vAlign w:val="center"/>
          </w:tcPr>
          <w:p w14:paraId="333F0C59" w14:textId="77777777" w:rsidR="00487605" w:rsidRDefault="00000000">
            <w:pPr>
              <w:spacing w:after="0" w:line="248" w:lineRule="auto"/>
            </w:pPr>
            <w:r>
              <w:rPr>
                <w:rFonts w:ascii="Times New Roman" w:eastAsia="Times New Roman" w:hAnsi="Times New Roman" w:cs="Times New Roman"/>
                <w:sz w:val="28"/>
              </w:rPr>
              <w:t>3,8 mil. € plătit (nuclear ~2,8€)</w:t>
            </w:r>
          </w:p>
        </w:tc>
      </w:tr>
      <w:tr w:rsidR="00487605" w14:paraId="2C740720" w14:textId="77777777">
        <w:tblPrEx>
          <w:tblCellMar>
            <w:top w:w="0" w:type="dxa"/>
            <w:bottom w:w="0" w:type="dxa"/>
          </w:tblCellMar>
        </w:tblPrEx>
        <w:tc>
          <w:tcPr>
            <w:tcW w:w="562"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vAlign w:val="center"/>
          </w:tcPr>
          <w:p w14:paraId="11D43404" w14:textId="77777777" w:rsidR="00487605" w:rsidRDefault="00000000">
            <w:pPr>
              <w:spacing w:after="0" w:line="248" w:lineRule="auto"/>
              <w:jc w:val="center"/>
            </w:pPr>
            <w:r>
              <w:rPr>
                <w:rFonts w:ascii="Times New Roman" w:eastAsia="Times New Roman" w:hAnsi="Times New Roman" w:cs="Times New Roman"/>
                <w:sz w:val="28"/>
              </w:rPr>
              <w:t>6</w:t>
            </w:r>
          </w:p>
        </w:tc>
        <w:tc>
          <w:tcPr>
            <w:tcW w:w="1630"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vAlign w:val="center"/>
          </w:tcPr>
          <w:p w14:paraId="14DC2D8F" w14:textId="77777777" w:rsidR="00487605" w:rsidRDefault="00000000">
            <w:pPr>
              <w:spacing w:after="0" w:line="248" w:lineRule="auto"/>
            </w:pPr>
            <w:r>
              <w:rPr>
                <w:rFonts w:ascii="Times New Roman" w:eastAsia="Times New Roman" w:hAnsi="Times New Roman" w:cs="Times New Roman"/>
                <w:sz w:val="28"/>
              </w:rPr>
              <w:t>19.05.2022</w:t>
            </w:r>
          </w:p>
        </w:tc>
        <w:tc>
          <w:tcPr>
            <w:tcW w:w="6242"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vAlign w:val="center"/>
          </w:tcPr>
          <w:p w14:paraId="5DCC91F3" w14:textId="77777777" w:rsidR="00487605" w:rsidRDefault="00000000">
            <w:pPr>
              <w:spacing w:after="0" w:line="248" w:lineRule="auto"/>
              <w:jc w:val="both"/>
            </w:pPr>
            <w:r>
              <w:rPr>
                <w:rFonts w:ascii="Times New Roman" w:eastAsia="Times New Roman" w:hAnsi="Times New Roman" w:cs="Times New Roman"/>
                <w:sz w:val="28"/>
              </w:rPr>
              <w:t>Studiul Sargent &amp; Lundy se finalizează: Doicești pe locul 2 din 9 amplasamente (scor 1091 vs. Iernut 1099); decizia SNN de selecție a amplasamentului a fost luată fără analiză comparativă.</w:t>
            </w:r>
          </w:p>
        </w:tc>
        <w:tc>
          <w:tcPr>
            <w:tcW w:w="1390"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vAlign w:val="center"/>
          </w:tcPr>
          <w:p w14:paraId="0C0810AA" w14:textId="77777777" w:rsidR="00487605" w:rsidRDefault="00000000">
            <w:pPr>
              <w:spacing w:after="0" w:line="248" w:lineRule="auto"/>
            </w:pPr>
            <w:r>
              <w:rPr>
                <w:rFonts w:ascii="Times New Roman" w:eastAsia="Times New Roman" w:hAnsi="Times New Roman" w:cs="Times New Roman"/>
                <w:sz w:val="28"/>
              </w:rPr>
              <w:t>-</w:t>
            </w:r>
          </w:p>
        </w:tc>
      </w:tr>
      <w:tr w:rsidR="00487605" w14:paraId="507E5F17" w14:textId="77777777">
        <w:tblPrEx>
          <w:tblCellMar>
            <w:top w:w="0" w:type="dxa"/>
            <w:bottom w:w="0" w:type="dxa"/>
          </w:tblCellMar>
        </w:tblPrEx>
        <w:tc>
          <w:tcPr>
            <w:tcW w:w="562"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vAlign w:val="center"/>
          </w:tcPr>
          <w:p w14:paraId="7A422765" w14:textId="77777777" w:rsidR="00487605" w:rsidRDefault="00000000">
            <w:pPr>
              <w:spacing w:after="0" w:line="248" w:lineRule="auto"/>
              <w:jc w:val="center"/>
            </w:pPr>
            <w:r>
              <w:rPr>
                <w:rFonts w:ascii="Times New Roman" w:eastAsia="Times New Roman" w:hAnsi="Times New Roman" w:cs="Times New Roman"/>
                <w:sz w:val="28"/>
              </w:rPr>
              <w:t>7</w:t>
            </w:r>
          </w:p>
        </w:tc>
        <w:tc>
          <w:tcPr>
            <w:tcW w:w="1630"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vAlign w:val="center"/>
          </w:tcPr>
          <w:p w14:paraId="56EE468D" w14:textId="77777777" w:rsidR="00487605" w:rsidRDefault="00000000">
            <w:pPr>
              <w:spacing w:after="0" w:line="248" w:lineRule="auto"/>
            </w:pPr>
            <w:r>
              <w:rPr>
                <w:rFonts w:ascii="Times New Roman" w:eastAsia="Times New Roman" w:hAnsi="Times New Roman" w:cs="Times New Roman"/>
                <w:sz w:val="28"/>
              </w:rPr>
              <w:t>23-24.05.2022</w:t>
            </w:r>
          </w:p>
        </w:tc>
        <w:tc>
          <w:tcPr>
            <w:tcW w:w="6242"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vAlign w:val="center"/>
          </w:tcPr>
          <w:p w14:paraId="0E15689E" w14:textId="77777777" w:rsidR="00487605" w:rsidRDefault="00000000">
            <w:pPr>
              <w:spacing w:after="0" w:line="248" w:lineRule="auto"/>
              <w:jc w:val="both"/>
            </w:pPr>
            <w:r>
              <w:rPr>
                <w:rFonts w:ascii="Times New Roman" w:eastAsia="Times New Roman" w:hAnsi="Times New Roman" w:cs="Times New Roman"/>
                <w:sz w:val="28"/>
              </w:rPr>
              <w:t>Nuclearelectrica și NuScale anunță oficial amplasamentul - Doicești; se semnează un memorandum cu E-Infra (grupul din care face parte Nova).</w:t>
            </w:r>
          </w:p>
        </w:tc>
        <w:tc>
          <w:tcPr>
            <w:tcW w:w="1390"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vAlign w:val="center"/>
          </w:tcPr>
          <w:p w14:paraId="665B1D42" w14:textId="77777777" w:rsidR="00487605" w:rsidRDefault="00000000">
            <w:pPr>
              <w:spacing w:after="0" w:line="248" w:lineRule="auto"/>
            </w:pPr>
            <w:r>
              <w:rPr>
                <w:rFonts w:ascii="Times New Roman" w:eastAsia="Times New Roman" w:hAnsi="Times New Roman" w:cs="Times New Roman"/>
                <w:sz w:val="28"/>
              </w:rPr>
              <w:t>-</w:t>
            </w:r>
          </w:p>
        </w:tc>
      </w:tr>
      <w:tr w:rsidR="00487605" w14:paraId="72BFAE2D" w14:textId="77777777">
        <w:tblPrEx>
          <w:tblCellMar>
            <w:top w:w="0" w:type="dxa"/>
            <w:bottom w:w="0" w:type="dxa"/>
          </w:tblCellMar>
        </w:tblPrEx>
        <w:tc>
          <w:tcPr>
            <w:tcW w:w="562"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vAlign w:val="center"/>
          </w:tcPr>
          <w:p w14:paraId="1B12E7B3" w14:textId="77777777" w:rsidR="00487605" w:rsidRDefault="00000000">
            <w:pPr>
              <w:spacing w:after="0" w:line="248" w:lineRule="auto"/>
              <w:jc w:val="center"/>
            </w:pPr>
            <w:r>
              <w:rPr>
                <w:rFonts w:ascii="Times New Roman" w:eastAsia="Times New Roman" w:hAnsi="Times New Roman" w:cs="Times New Roman"/>
                <w:sz w:val="28"/>
              </w:rPr>
              <w:t>8</w:t>
            </w:r>
          </w:p>
        </w:tc>
        <w:tc>
          <w:tcPr>
            <w:tcW w:w="1630"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vAlign w:val="center"/>
          </w:tcPr>
          <w:p w14:paraId="3F4F788C" w14:textId="77777777" w:rsidR="00487605" w:rsidRDefault="00000000">
            <w:pPr>
              <w:spacing w:after="0" w:line="248" w:lineRule="auto"/>
            </w:pPr>
            <w:r>
              <w:rPr>
                <w:rFonts w:ascii="Times New Roman" w:eastAsia="Times New Roman" w:hAnsi="Times New Roman" w:cs="Times New Roman"/>
                <w:sz w:val="28"/>
              </w:rPr>
              <w:t>22.09.2022</w:t>
            </w:r>
          </w:p>
        </w:tc>
        <w:tc>
          <w:tcPr>
            <w:tcW w:w="6242"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vAlign w:val="center"/>
          </w:tcPr>
          <w:p w14:paraId="66D06760" w14:textId="77777777" w:rsidR="00487605" w:rsidRDefault="00000000">
            <w:pPr>
              <w:spacing w:after="0" w:line="248" w:lineRule="auto"/>
              <w:jc w:val="both"/>
            </w:pPr>
            <w:r>
              <w:rPr>
                <w:rFonts w:ascii="Times New Roman" w:eastAsia="Times New Roman" w:hAnsi="Times New Roman" w:cs="Times New Roman"/>
                <w:sz w:val="28"/>
              </w:rPr>
              <w:t xml:space="preserve">Nuclearelectrica aprobă asocierea 50/50 cu Nova și Acordul Investitorilor (Hotărârea AGEA nr. 9). Decizia de asociere în cote egale s-a întemeiat pe două argumente: deținerea terenului de către Nova și experiența grupului în construcții și infrastructură energetică. </w:t>
            </w:r>
            <w:r>
              <w:rPr>
                <w:rFonts w:ascii="Times New Roman" w:eastAsia="Times New Roman" w:hAnsi="Times New Roman" w:cs="Times New Roman"/>
                <w:sz w:val="28"/>
                <w:u w:val="single"/>
              </w:rPr>
              <w:t>Terenul ar fi putut fi adus ca aport în natură la capital, dar nu a fost.</w:t>
            </w:r>
            <w:r>
              <w:rPr>
                <w:rFonts w:ascii="Times New Roman" w:eastAsia="Times New Roman" w:hAnsi="Times New Roman" w:cs="Times New Roman"/>
                <w:sz w:val="28"/>
              </w:rPr>
              <w:t xml:space="preserve"> Clauza prevedea cumpărarea terenului la valoarea contabilă a Nova, contrară art. 44¹ din Legea nr. 31/1990 și Codului fiscal. </w:t>
            </w:r>
          </w:p>
        </w:tc>
        <w:tc>
          <w:tcPr>
            <w:tcW w:w="1390"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vAlign w:val="center"/>
          </w:tcPr>
          <w:p w14:paraId="641AC9E1" w14:textId="77777777" w:rsidR="00487605" w:rsidRDefault="00000000">
            <w:pPr>
              <w:spacing w:after="0" w:line="248" w:lineRule="auto"/>
            </w:pPr>
            <w:r>
              <w:rPr>
                <w:rFonts w:ascii="Times New Roman" w:eastAsia="Times New Roman" w:hAnsi="Times New Roman" w:cs="Times New Roman"/>
                <w:sz w:val="28"/>
              </w:rPr>
              <w:t>-</w:t>
            </w:r>
          </w:p>
        </w:tc>
      </w:tr>
      <w:tr w:rsidR="00487605" w14:paraId="5107AFC0" w14:textId="77777777">
        <w:tblPrEx>
          <w:tblCellMar>
            <w:top w:w="0" w:type="dxa"/>
            <w:bottom w:w="0" w:type="dxa"/>
          </w:tblCellMar>
        </w:tblPrEx>
        <w:tc>
          <w:tcPr>
            <w:tcW w:w="562"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vAlign w:val="center"/>
          </w:tcPr>
          <w:p w14:paraId="3E89F4B3" w14:textId="77777777" w:rsidR="00487605" w:rsidRDefault="00000000">
            <w:pPr>
              <w:spacing w:after="0" w:line="248" w:lineRule="auto"/>
              <w:jc w:val="center"/>
            </w:pPr>
            <w:r>
              <w:rPr>
                <w:rFonts w:ascii="Times New Roman" w:eastAsia="Times New Roman" w:hAnsi="Times New Roman" w:cs="Times New Roman"/>
                <w:sz w:val="28"/>
              </w:rPr>
              <w:t>9</w:t>
            </w:r>
          </w:p>
        </w:tc>
        <w:tc>
          <w:tcPr>
            <w:tcW w:w="1630"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vAlign w:val="center"/>
          </w:tcPr>
          <w:p w14:paraId="4D7D56B6" w14:textId="77777777" w:rsidR="00487605" w:rsidRDefault="00000000">
            <w:pPr>
              <w:spacing w:after="0" w:line="248" w:lineRule="auto"/>
            </w:pPr>
            <w:r>
              <w:rPr>
                <w:rFonts w:ascii="Times New Roman" w:eastAsia="Times New Roman" w:hAnsi="Times New Roman" w:cs="Times New Roman"/>
                <w:sz w:val="28"/>
              </w:rPr>
              <w:t>26.09.2022</w:t>
            </w:r>
          </w:p>
        </w:tc>
        <w:tc>
          <w:tcPr>
            <w:tcW w:w="6242"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vAlign w:val="center"/>
          </w:tcPr>
          <w:p w14:paraId="5C745C3B" w14:textId="77777777" w:rsidR="00487605" w:rsidRDefault="00000000">
            <w:pPr>
              <w:spacing w:after="0" w:line="248" w:lineRule="auto"/>
              <w:jc w:val="both"/>
            </w:pPr>
            <w:r>
              <w:rPr>
                <w:rFonts w:ascii="Times New Roman" w:eastAsia="Times New Roman" w:hAnsi="Times New Roman" w:cs="Times New Roman"/>
                <w:sz w:val="28"/>
              </w:rPr>
              <w:t xml:space="preserve">RoPower Nuclear (RoPower), compania de proiect, se înființează prin aportul egal la capitalul </w:t>
            </w:r>
            <w:r>
              <w:rPr>
                <w:rFonts w:ascii="Times New Roman" w:eastAsia="Times New Roman" w:hAnsi="Times New Roman" w:cs="Times New Roman"/>
                <w:sz w:val="28"/>
              </w:rPr>
              <w:lastRenderedPageBreak/>
              <w:t xml:space="preserve">social subscris și vărsat de SNN și Nova, în valoare totală de 9.886.000 lei. Capitalul social al companiei de proiect a fost majorat la 29.886.000 lei (17.06.2023) și, ulterior, la 39.886.000 lei (29.08.2023). Majorările ulterioare ale capitalului social au fost efectuate în urma aportului în bani a celor doi asociați, care au contribuit în proporție de 50% fiecare. </w:t>
            </w:r>
          </w:p>
        </w:tc>
        <w:tc>
          <w:tcPr>
            <w:tcW w:w="1390"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vAlign w:val="center"/>
          </w:tcPr>
          <w:p w14:paraId="770334A6" w14:textId="77777777" w:rsidR="00487605" w:rsidRDefault="00000000">
            <w:pPr>
              <w:spacing w:after="0" w:line="248" w:lineRule="auto"/>
            </w:pPr>
            <w:r>
              <w:rPr>
                <w:rFonts w:ascii="Times New Roman" w:eastAsia="Times New Roman" w:hAnsi="Times New Roman" w:cs="Times New Roman"/>
                <w:sz w:val="28"/>
              </w:rPr>
              <w:lastRenderedPageBreak/>
              <w:t xml:space="preserve">19.943 mil. lei aport </w:t>
            </w:r>
            <w:r>
              <w:rPr>
                <w:rFonts w:ascii="Times New Roman" w:eastAsia="Times New Roman" w:hAnsi="Times New Roman" w:cs="Times New Roman"/>
                <w:sz w:val="28"/>
              </w:rPr>
              <w:lastRenderedPageBreak/>
              <w:t>egal al acționarilor companiei de proiect</w:t>
            </w:r>
          </w:p>
        </w:tc>
      </w:tr>
      <w:tr w:rsidR="00487605" w14:paraId="5ED3A302" w14:textId="77777777">
        <w:tblPrEx>
          <w:tblCellMar>
            <w:top w:w="0" w:type="dxa"/>
            <w:bottom w:w="0" w:type="dxa"/>
          </w:tblCellMar>
        </w:tblPrEx>
        <w:tc>
          <w:tcPr>
            <w:tcW w:w="562"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vAlign w:val="center"/>
          </w:tcPr>
          <w:p w14:paraId="2EEE44DF" w14:textId="77777777" w:rsidR="00487605" w:rsidRDefault="00000000">
            <w:pPr>
              <w:spacing w:after="0" w:line="248" w:lineRule="auto"/>
              <w:jc w:val="center"/>
            </w:pPr>
            <w:r>
              <w:rPr>
                <w:rFonts w:ascii="Times New Roman" w:eastAsia="Times New Roman" w:hAnsi="Times New Roman" w:cs="Times New Roman"/>
                <w:sz w:val="28"/>
              </w:rPr>
              <w:lastRenderedPageBreak/>
              <w:t>10</w:t>
            </w:r>
          </w:p>
        </w:tc>
        <w:tc>
          <w:tcPr>
            <w:tcW w:w="1630"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vAlign w:val="center"/>
          </w:tcPr>
          <w:p w14:paraId="05D4FCFA" w14:textId="77777777" w:rsidR="00487605" w:rsidRDefault="00000000">
            <w:pPr>
              <w:spacing w:after="0" w:line="248" w:lineRule="auto"/>
            </w:pPr>
            <w:r>
              <w:rPr>
                <w:rFonts w:ascii="Times New Roman" w:eastAsia="Times New Roman" w:hAnsi="Times New Roman" w:cs="Times New Roman"/>
                <w:sz w:val="28"/>
              </w:rPr>
              <w:t>16.08.2023</w:t>
            </w:r>
          </w:p>
        </w:tc>
        <w:tc>
          <w:tcPr>
            <w:tcW w:w="6242"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vAlign w:val="center"/>
          </w:tcPr>
          <w:p w14:paraId="56F9ADC1" w14:textId="77777777" w:rsidR="00487605" w:rsidRDefault="00000000">
            <w:pPr>
              <w:spacing w:after="0" w:line="248" w:lineRule="auto"/>
              <w:jc w:val="both"/>
            </w:pPr>
            <w:r>
              <w:rPr>
                <w:rFonts w:ascii="Times New Roman" w:eastAsia="Times New Roman" w:hAnsi="Times New Roman" w:cs="Times New Roman"/>
                <w:sz w:val="28"/>
              </w:rPr>
              <w:t xml:space="preserve">Nuclearelectrica și RoPower încheie Contractul-cadru de împrumut nr. 1; Nuclearelectrica devine finanțatorul companiei de proiect. Plafonul inițial (~9 mil. USD, pentru contractul NuScale) este majorat ulterior la 243 mil. USD; din linia de credit s-au tras, până la trim. I 2026, 228,6 mil. USD; contribuția Nova la activele RoPower este constituită exclusiv din aportul său la capitalul social al companiei de proiect.  </w:t>
            </w:r>
          </w:p>
        </w:tc>
        <w:tc>
          <w:tcPr>
            <w:tcW w:w="1390"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vAlign w:val="center"/>
          </w:tcPr>
          <w:p w14:paraId="438BA206" w14:textId="77777777" w:rsidR="00487605" w:rsidRDefault="00000000">
            <w:pPr>
              <w:spacing w:after="0" w:line="248" w:lineRule="auto"/>
            </w:pPr>
            <w:r>
              <w:rPr>
                <w:rFonts w:ascii="Times New Roman" w:eastAsia="Times New Roman" w:hAnsi="Times New Roman" w:cs="Times New Roman"/>
                <w:sz w:val="28"/>
              </w:rPr>
              <w:t>plafon 243 mil. USD (tras ~204 mil. €)</w:t>
            </w:r>
          </w:p>
        </w:tc>
      </w:tr>
      <w:tr w:rsidR="00487605" w14:paraId="5EF8FE4C" w14:textId="77777777">
        <w:tblPrEx>
          <w:tblCellMar>
            <w:top w:w="0" w:type="dxa"/>
            <w:bottom w:w="0" w:type="dxa"/>
          </w:tblCellMar>
        </w:tblPrEx>
        <w:tc>
          <w:tcPr>
            <w:tcW w:w="562"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vAlign w:val="center"/>
          </w:tcPr>
          <w:p w14:paraId="782173F7" w14:textId="77777777" w:rsidR="00487605" w:rsidRDefault="00000000">
            <w:pPr>
              <w:spacing w:after="0" w:line="248" w:lineRule="auto"/>
              <w:jc w:val="center"/>
            </w:pPr>
            <w:r>
              <w:rPr>
                <w:rFonts w:ascii="Times New Roman" w:eastAsia="Times New Roman" w:hAnsi="Times New Roman" w:cs="Times New Roman"/>
                <w:sz w:val="28"/>
              </w:rPr>
              <w:t>11</w:t>
            </w:r>
          </w:p>
        </w:tc>
        <w:tc>
          <w:tcPr>
            <w:tcW w:w="1630"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vAlign w:val="center"/>
          </w:tcPr>
          <w:p w14:paraId="366ACEAE" w14:textId="77777777" w:rsidR="00487605" w:rsidRDefault="00000000">
            <w:pPr>
              <w:spacing w:after="0" w:line="248" w:lineRule="auto"/>
            </w:pPr>
            <w:r>
              <w:rPr>
                <w:rFonts w:ascii="Times New Roman" w:eastAsia="Times New Roman" w:hAnsi="Times New Roman" w:cs="Times New Roman"/>
                <w:sz w:val="28"/>
              </w:rPr>
              <w:t>17.10.2024</w:t>
            </w:r>
          </w:p>
        </w:tc>
        <w:tc>
          <w:tcPr>
            <w:tcW w:w="6242"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vAlign w:val="center"/>
          </w:tcPr>
          <w:p w14:paraId="3A87BE1B" w14:textId="77777777" w:rsidR="00487605" w:rsidRDefault="00000000">
            <w:pPr>
              <w:spacing w:after="0" w:line="248" w:lineRule="auto"/>
              <w:jc w:val="both"/>
            </w:pPr>
            <w:r>
              <w:rPr>
                <w:rFonts w:ascii="Times New Roman" w:eastAsia="Times New Roman" w:hAnsi="Times New Roman" w:cs="Times New Roman"/>
                <w:sz w:val="28"/>
              </w:rPr>
              <w:t>Evaluatorul independent membru ANEVAR din categoria ”big four” stabilește valoarea de piață a amplasamentului la 24,45 mil. € (fără TVA, referință 31.07.2024). Evaluatorul a inclus în valoare îmbunătățirile aduse terenului care adăugau valoare de piață (~16,7 mil. €) și a exclus costurile care nu adăugau valoare de piață (~19,1 mil. €), evaluând situl ca amplasament industrial, fără specific nuclear.</w:t>
            </w:r>
          </w:p>
        </w:tc>
        <w:tc>
          <w:tcPr>
            <w:tcW w:w="1390"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vAlign w:val="center"/>
          </w:tcPr>
          <w:p w14:paraId="0494E3EF" w14:textId="77777777" w:rsidR="00487605" w:rsidRDefault="00000000">
            <w:pPr>
              <w:spacing w:after="0" w:line="248" w:lineRule="auto"/>
            </w:pPr>
            <w:r>
              <w:rPr>
                <w:rFonts w:ascii="Times New Roman" w:eastAsia="Times New Roman" w:hAnsi="Times New Roman" w:cs="Times New Roman"/>
                <w:sz w:val="28"/>
              </w:rPr>
              <w:t>24,45 mil. € (piață)</w:t>
            </w:r>
          </w:p>
        </w:tc>
      </w:tr>
      <w:tr w:rsidR="00487605" w14:paraId="4DB99B9F" w14:textId="77777777">
        <w:tblPrEx>
          <w:tblCellMar>
            <w:top w:w="0" w:type="dxa"/>
            <w:bottom w:w="0" w:type="dxa"/>
          </w:tblCellMar>
        </w:tblPrEx>
        <w:tc>
          <w:tcPr>
            <w:tcW w:w="562"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vAlign w:val="center"/>
          </w:tcPr>
          <w:p w14:paraId="1140857A" w14:textId="77777777" w:rsidR="00487605" w:rsidRDefault="00000000">
            <w:pPr>
              <w:spacing w:after="0" w:line="248" w:lineRule="auto"/>
              <w:jc w:val="center"/>
            </w:pPr>
            <w:r>
              <w:rPr>
                <w:rFonts w:ascii="Times New Roman" w:eastAsia="Times New Roman" w:hAnsi="Times New Roman" w:cs="Times New Roman"/>
                <w:sz w:val="28"/>
              </w:rPr>
              <w:t>12</w:t>
            </w:r>
          </w:p>
        </w:tc>
        <w:tc>
          <w:tcPr>
            <w:tcW w:w="1630"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vAlign w:val="center"/>
          </w:tcPr>
          <w:p w14:paraId="734D40F4" w14:textId="77777777" w:rsidR="00487605" w:rsidRDefault="00000000">
            <w:pPr>
              <w:spacing w:after="0" w:line="248" w:lineRule="auto"/>
            </w:pPr>
            <w:r>
              <w:rPr>
                <w:rFonts w:ascii="Times New Roman" w:eastAsia="Times New Roman" w:hAnsi="Times New Roman" w:cs="Times New Roman"/>
                <w:sz w:val="28"/>
              </w:rPr>
              <w:t>27.05.2025</w:t>
            </w:r>
          </w:p>
        </w:tc>
        <w:tc>
          <w:tcPr>
            <w:tcW w:w="6242"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vAlign w:val="center"/>
          </w:tcPr>
          <w:p w14:paraId="75C1D436" w14:textId="77777777" w:rsidR="00487605" w:rsidRDefault="00000000">
            <w:pPr>
              <w:spacing w:after="0" w:line="248" w:lineRule="auto"/>
              <w:jc w:val="both"/>
            </w:pPr>
            <w:r>
              <w:rPr>
                <w:rFonts w:ascii="Times New Roman" w:eastAsia="Times New Roman" w:hAnsi="Times New Roman" w:cs="Times New Roman"/>
                <w:sz w:val="28"/>
              </w:rPr>
              <w:t xml:space="preserve">Acordul Investitorilor se modifică: clauza contrară legii (vânzarea/achiziția terenului la valoarea contabilă) este înlocuită cu vânzare/achiziția la valoarea de piață, însoțită de un acord de refacturare. Potrivit raportului, modificarea a avut scopul de a crea aparența că dobândirea respectă regulile de piață, deși prețul final (~44 mil. €, fără TVA) depășește semnificativ atât valoarea de piață (~24 mil. €), cât și cele 7,3 mil. € agreate în 2021 de Nova pentru achiziția întregul sit, incluzând lucrări de demolare. Suma efectiv plătită de Nova pentru </w:t>
            </w:r>
            <w:r>
              <w:rPr>
                <w:rFonts w:ascii="Times New Roman" w:eastAsia="Times New Roman" w:hAnsi="Times New Roman" w:cs="Times New Roman"/>
                <w:sz w:val="28"/>
              </w:rPr>
              <w:lastRenderedPageBreak/>
              <w:t xml:space="preserve">achiziția terenului de la Garden Pub SRL a fost de 2,8 milioane de euro. Independent de valoarea raportului de evaluare, acestea sunt referințe reale ale unei tranzacții în condiții de piață concurențială și fără perspectiva ca acea locație să fie folosită pentru un proiect nuclear. </w:t>
            </w:r>
          </w:p>
        </w:tc>
        <w:tc>
          <w:tcPr>
            <w:tcW w:w="1390"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vAlign w:val="center"/>
          </w:tcPr>
          <w:p w14:paraId="27F71A53" w14:textId="77777777" w:rsidR="00487605" w:rsidRDefault="00000000">
            <w:pPr>
              <w:spacing w:after="0" w:line="248" w:lineRule="auto"/>
            </w:pPr>
            <w:r>
              <w:rPr>
                <w:rFonts w:ascii="Times New Roman" w:eastAsia="Times New Roman" w:hAnsi="Times New Roman" w:cs="Times New Roman"/>
                <w:sz w:val="28"/>
              </w:rPr>
              <w:lastRenderedPageBreak/>
              <w:t>-</w:t>
            </w:r>
          </w:p>
        </w:tc>
      </w:tr>
      <w:tr w:rsidR="00487605" w14:paraId="50709F92" w14:textId="77777777">
        <w:tblPrEx>
          <w:tblCellMar>
            <w:top w:w="0" w:type="dxa"/>
            <w:bottom w:w="0" w:type="dxa"/>
          </w:tblCellMar>
        </w:tblPrEx>
        <w:tc>
          <w:tcPr>
            <w:tcW w:w="562"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vAlign w:val="center"/>
          </w:tcPr>
          <w:p w14:paraId="649408D0" w14:textId="77777777" w:rsidR="00487605" w:rsidRDefault="00000000">
            <w:pPr>
              <w:spacing w:after="0" w:line="248" w:lineRule="auto"/>
              <w:jc w:val="center"/>
            </w:pPr>
            <w:r>
              <w:rPr>
                <w:rFonts w:ascii="Times New Roman" w:eastAsia="Times New Roman" w:hAnsi="Times New Roman" w:cs="Times New Roman"/>
                <w:sz w:val="28"/>
              </w:rPr>
              <w:t>13</w:t>
            </w:r>
          </w:p>
        </w:tc>
        <w:tc>
          <w:tcPr>
            <w:tcW w:w="1630"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vAlign w:val="center"/>
          </w:tcPr>
          <w:p w14:paraId="1E22FC8A" w14:textId="77777777" w:rsidR="00487605" w:rsidRDefault="00000000">
            <w:pPr>
              <w:spacing w:after="0" w:line="248" w:lineRule="auto"/>
            </w:pPr>
            <w:r>
              <w:rPr>
                <w:rFonts w:ascii="Times New Roman" w:eastAsia="Times New Roman" w:hAnsi="Times New Roman" w:cs="Times New Roman"/>
                <w:sz w:val="28"/>
              </w:rPr>
              <w:t>29.05.2025</w:t>
            </w:r>
          </w:p>
        </w:tc>
        <w:tc>
          <w:tcPr>
            <w:tcW w:w="6242"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vAlign w:val="center"/>
          </w:tcPr>
          <w:p w14:paraId="3F3EFFF7" w14:textId="77777777" w:rsidR="00487605" w:rsidRDefault="00000000">
            <w:pPr>
              <w:spacing w:after="0" w:line="248" w:lineRule="auto"/>
              <w:jc w:val="both"/>
            </w:pPr>
            <w:r>
              <w:rPr>
                <w:rFonts w:ascii="Times New Roman" w:eastAsia="Times New Roman" w:hAnsi="Times New Roman" w:cs="Times New Roman"/>
                <w:sz w:val="28"/>
              </w:rPr>
              <w:t>Adunarea Generală a Acționarilor RoPower (Hotărârea nr. 1), cu votul reprezentantului Nuclearelectrica, modifică pragurile de aprobare a contractelor: sub 20 mil. € decide directorul general, între 20 și 50 mil. € Consiliul de Administrație, peste 50 mil. € adunarea acționarilor (anterior, pragul era de 5 mil. €). Astfel, contractele care au stat la baza dobândirii amplasamentului (contractul de vânzare și acordul de refacturare) nu mai trebuiau aprobate de adunarea acționarilor (în care reprezentantul SNN trebuia mandatat de conducerea societății naționale). Schimbarea are loc cu 7 zile înainte de tranzacție.</w:t>
            </w:r>
          </w:p>
        </w:tc>
        <w:tc>
          <w:tcPr>
            <w:tcW w:w="1390"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vAlign w:val="center"/>
          </w:tcPr>
          <w:p w14:paraId="6EEE8BA8" w14:textId="77777777" w:rsidR="00487605" w:rsidRDefault="00000000">
            <w:pPr>
              <w:spacing w:after="0" w:line="248" w:lineRule="auto"/>
            </w:pPr>
            <w:r>
              <w:rPr>
                <w:rFonts w:ascii="Times New Roman" w:eastAsia="Times New Roman" w:hAnsi="Times New Roman" w:cs="Times New Roman"/>
                <w:sz w:val="28"/>
              </w:rPr>
              <w:t xml:space="preserve">prag 5 </w:t>
            </w:r>
            <w:r>
              <w:rPr>
                <w:rFonts w:ascii="Cambria Math" w:eastAsia="Cambria Math" w:hAnsi="Cambria Math" w:cs="Cambria Math"/>
                <w:sz w:val="28"/>
              </w:rPr>
              <w:t>→</w:t>
            </w:r>
            <w:r>
              <w:rPr>
                <w:rFonts w:ascii="Times New Roman" w:eastAsia="Times New Roman" w:hAnsi="Times New Roman" w:cs="Times New Roman"/>
                <w:sz w:val="28"/>
              </w:rPr>
              <w:t xml:space="preserve"> 50 mil. €</w:t>
            </w:r>
          </w:p>
        </w:tc>
      </w:tr>
      <w:tr w:rsidR="00487605" w14:paraId="22AEFC1A" w14:textId="77777777">
        <w:tblPrEx>
          <w:tblCellMar>
            <w:top w:w="0" w:type="dxa"/>
            <w:bottom w:w="0" w:type="dxa"/>
          </w:tblCellMar>
        </w:tblPrEx>
        <w:tc>
          <w:tcPr>
            <w:tcW w:w="562"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vAlign w:val="center"/>
          </w:tcPr>
          <w:p w14:paraId="0BA6817A" w14:textId="77777777" w:rsidR="00487605" w:rsidRDefault="00000000">
            <w:pPr>
              <w:spacing w:after="0" w:line="248" w:lineRule="auto"/>
              <w:jc w:val="center"/>
            </w:pPr>
            <w:r>
              <w:rPr>
                <w:rFonts w:ascii="Times New Roman" w:eastAsia="Times New Roman" w:hAnsi="Times New Roman" w:cs="Times New Roman"/>
                <w:sz w:val="28"/>
              </w:rPr>
              <w:t>14</w:t>
            </w:r>
          </w:p>
        </w:tc>
        <w:tc>
          <w:tcPr>
            <w:tcW w:w="1630"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vAlign w:val="center"/>
          </w:tcPr>
          <w:p w14:paraId="0DC1EC35" w14:textId="77777777" w:rsidR="00487605" w:rsidRDefault="00000000">
            <w:pPr>
              <w:spacing w:after="0" w:line="248" w:lineRule="auto"/>
            </w:pPr>
            <w:r>
              <w:rPr>
                <w:rFonts w:ascii="Times New Roman" w:eastAsia="Times New Roman" w:hAnsi="Times New Roman" w:cs="Times New Roman"/>
                <w:sz w:val="28"/>
              </w:rPr>
              <w:t>05.06.2025</w:t>
            </w:r>
          </w:p>
        </w:tc>
        <w:tc>
          <w:tcPr>
            <w:tcW w:w="6242"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vAlign w:val="center"/>
          </w:tcPr>
          <w:p w14:paraId="638F5A49" w14:textId="77777777" w:rsidR="00487605" w:rsidRDefault="00000000">
            <w:pPr>
              <w:spacing w:after="0" w:line="248" w:lineRule="auto"/>
              <w:jc w:val="both"/>
            </w:pPr>
            <w:r>
              <w:rPr>
                <w:rFonts w:ascii="Times New Roman" w:eastAsia="Times New Roman" w:hAnsi="Times New Roman" w:cs="Times New Roman"/>
                <w:sz w:val="28"/>
              </w:rPr>
              <w:t>Contractul de vânzare nr. 1594 (24,34 mil. €, fără TVA) și Acordul de refacturare (19,49 mil. €, fără TVA) se semnează în aceeași zi. Contravaloarea totală: peste 46 mil. € cu TVA (</w:t>
            </w:r>
            <w:r>
              <w:rPr>
                <w:rFonts w:ascii="Cambria Math" w:eastAsia="Cambria Math" w:hAnsi="Cambria Math" w:cs="Cambria Math"/>
                <w:sz w:val="28"/>
              </w:rPr>
              <w:t>≈</w:t>
            </w:r>
            <w:r>
              <w:rPr>
                <w:rFonts w:ascii="Times New Roman" w:eastAsia="Times New Roman" w:hAnsi="Times New Roman" w:cs="Times New Roman"/>
                <w:sz w:val="28"/>
              </w:rPr>
              <w:t>44 mil. € fără TVA). Tot atunci se semnează actul adițional nr. 4 la împrumutul Nuclearelectrica. Potrivit raportului, valoarea totală a Acordului de refacturare (inclusiv TVA), respectiv 22,05 mil. €, inclusiv TVA, ar fi impus, potrivit Actului constitutiv al RoPower, modificat la data de 29.05.2025, aprobarea acestuia de către CA (din componența sa face parte un reprezentant al SNN) al RoPower, demers care nu s-a realizat.</w:t>
            </w:r>
          </w:p>
        </w:tc>
        <w:tc>
          <w:tcPr>
            <w:tcW w:w="1390"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vAlign w:val="center"/>
          </w:tcPr>
          <w:p w14:paraId="0D8782BB" w14:textId="77777777" w:rsidR="00487605" w:rsidRDefault="00000000">
            <w:pPr>
              <w:spacing w:after="0" w:line="248" w:lineRule="auto"/>
            </w:pPr>
            <w:r>
              <w:rPr>
                <w:rFonts w:ascii="Cambria Math" w:eastAsia="Cambria Math" w:hAnsi="Cambria Math" w:cs="Cambria Math"/>
                <w:sz w:val="28"/>
              </w:rPr>
              <w:t>≈</w:t>
            </w:r>
            <w:r>
              <w:rPr>
                <w:rFonts w:ascii="Times New Roman" w:eastAsia="Times New Roman" w:hAnsi="Times New Roman" w:cs="Times New Roman"/>
                <w:sz w:val="28"/>
              </w:rPr>
              <w:t>44 mil. € fără TVA</w:t>
            </w:r>
          </w:p>
        </w:tc>
      </w:tr>
      <w:tr w:rsidR="00487605" w14:paraId="5CC8BA5B" w14:textId="77777777">
        <w:tblPrEx>
          <w:tblCellMar>
            <w:top w:w="0" w:type="dxa"/>
            <w:bottom w:w="0" w:type="dxa"/>
          </w:tblCellMar>
        </w:tblPrEx>
        <w:tc>
          <w:tcPr>
            <w:tcW w:w="562"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vAlign w:val="center"/>
          </w:tcPr>
          <w:p w14:paraId="2E0A45D1" w14:textId="77777777" w:rsidR="00487605" w:rsidRDefault="00000000">
            <w:pPr>
              <w:spacing w:after="0" w:line="248" w:lineRule="auto"/>
              <w:jc w:val="center"/>
            </w:pPr>
            <w:r>
              <w:rPr>
                <w:rFonts w:ascii="Times New Roman" w:eastAsia="Times New Roman" w:hAnsi="Times New Roman" w:cs="Times New Roman"/>
                <w:sz w:val="28"/>
              </w:rPr>
              <w:t>15</w:t>
            </w:r>
          </w:p>
        </w:tc>
        <w:tc>
          <w:tcPr>
            <w:tcW w:w="1630"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vAlign w:val="center"/>
          </w:tcPr>
          <w:p w14:paraId="5B252AA1" w14:textId="77777777" w:rsidR="00487605" w:rsidRDefault="00000000">
            <w:pPr>
              <w:spacing w:after="0" w:line="248" w:lineRule="auto"/>
            </w:pPr>
            <w:r>
              <w:rPr>
                <w:rFonts w:ascii="Times New Roman" w:eastAsia="Times New Roman" w:hAnsi="Times New Roman" w:cs="Times New Roman"/>
                <w:sz w:val="28"/>
              </w:rPr>
              <w:t>16.06.2025</w:t>
            </w:r>
          </w:p>
        </w:tc>
        <w:tc>
          <w:tcPr>
            <w:tcW w:w="6242"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vAlign w:val="center"/>
          </w:tcPr>
          <w:p w14:paraId="3BE15C2C" w14:textId="77777777" w:rsidR="00487605" w:rsidRDefault="00000000">
            <w:pPr>
              <w:spacing w:after="0" w:line="240" w:lineRule="auto"/>
              <w:jc w:val="both"/>
            </w:pPr>
            <w:r>
              <w:rPr>
                <w:rFonts w:ascii="Times New Roman" w:eastAsia="Times New Roman" w:hAnsi="Times New Roman" w:cs="Times New Roman"/>
                <w:sz w:val="28"/>
                <w:shd w:val="clear" w:color="auto" w:fill="FFFFFF"/>
              </w:rPr>
              <w:t xml:space="preserve">Nuclearelectrica finanțează integral achiziția terenului din împrumutul de acționar; Nova nu contribuie financiar, fiind doar destinatarul sumei reprezentând prețul contractului de vânzare-cumpărare și viitorul destinatar al sumei </w:t>
            </w:r>
            <w:r>
              <w:rPr>
                <w:rFonts w:ascii="Times New Roman" w:eastAsia="Times New Roman" w:hAnsi="Times New Roman" w:cs="Times New Roman"/>
                <w:sz w:val="28"/>
                <w:shd w:val="clear" w:color="auto" w:fill="FFFFFF"/>
              </w:rPr>
              <w:lastRenderedPageBreak/>
              <w:t xml:space="preserve">refacturate. Potrivit raportului, creditarea companiei de proiect de către SNN s-a realizat cu nerespectarea dispozițiilor </w:t>
            </w:r>
            <w:r>
              <w:rPr>
                <w:rFonts w:ascii="Times New Roman" w:eastAsia="Times New Roman" w:hAnsi="Times New Roman" w:cs="Times New Roman"/>
                <w:i/>
                <w:sz w:val="28"/>
                <w:shd w:val="clear" w:color="auto" w:fill="FFFFFF"/>
              </w:rPr>
              <w:t>Acordului investitorilor</w:t>
            </w:r>
            <w:r>
              <w:rPr>
                <w:rFonts w:ascii="Times New Roman" w:eastAsia="Times New Roman" w:hAnsi="Times New Roman" w:cs="Times New Roman"/>
                <w:sz w:val="28"/>
                <w:shd w:val="clear" w:color="auto" w:fill="FFFFFF"/>
              </w:rPr>
              <w:t xml:space="preserve"> (convenție ce prevalează Actului constitutiv al RoPower), care a stipulat că Nova va acorda împrumut pentru achiziția terenului.</w:t>
            </w:r>
          </w:p>
        </w:tc>
        <w:tc>
          <w:tcPr>
            <w:tcW w:w="1390"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vAlign w:val="center"/>
          </w:tcPr>
          <w:p w14:paraId="4F99DD39" w14:textId="77777777" w:rsidR="00487605" w:rsidRDefault="00000000">
            <w:pPr>
              <w:spacing w:after="0" w:line="248" w:lineRule="auto"/>
            </w:pPr>
            <w:r>
              <w:rPr>
                <w:rFonts w:ascii="Times New Roman" w:eastAsia="Times New Roman" w:hAnsi="Times New Roman" w:cs="Times New Roman"/>
                <w:sz w:val="28"/>
              </w:rPr>
              <w:lastRenderedPageBreak/>
              <w:t>împrumut SNN</w:t>
            </w:r>
          </w:p>
        </w:tc>
      </w:tr>
      <w:tr w:rsidR="00487605" w14:paraId="000E209F" w14:textId="77777777">
        <w:tblPrEx>
          <w:tblCellMar>
            <w:top w:w="0" w:type="dxa"/>
            <w:bottom w:w="0" w:type="dxa"/>
          </w:tblCellMar>
        </w:tblPrEx>
        <w:tc>
          <w:tcPr>
            <w:tcW w:w="562"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vAlign w:val="center"/>
          </w:tcPr>
          <w:p w14:paraId="1BA22F6B" w14:textId="77777777" w:rsidR="00487605" w:rsidRDefault="00000000">
            <w:pPr>
              <w:spacing w:after="0" w:line="248" w:lineRule="auto"/>
              <w:jc w:val="center"/>
            </w:pPr>
            <w:r>
              <w:rPr>
                <w:rFonts w:ascii="Times New Roman" w:eastAsia="Times New Roman" w:hAnsi="Times New Roman" w:cs="Times New Roman"/>
                <w:sz w:val="28"/>
              </w:rPr>
              <w:t>16</w:t>
            </w:r>
          </w:p>
        </w:tc>
        <w:tc>
          <w:tcPr>
            <w:tcW w:w="1630"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vAlign w:val="center"/>
          </w:tcPr>
          <w:p w14:paraId="3801E71A" w14:textId="77777777" w:rsidR="00487605" w:rsidRDefault="00000000">
            <w:pPr>
              <w:spacing w:after="0" w:line="248" w:lineRule="auto"/>
            </w:pPr>
            <w:r>
              <w:rPr>
                <w:rFonts w:ascii="Times New Roman" w:eastAsia="Times New Roman" w:hAnsi="Times New Roman" w:cs="Times New Roman"/>
                <w:sz w:val="28"/>
              </w:rPr>
              <w:t>oct. 2025 - mar. 2026</w:t>
            </w:r>
          </w:p>
        </w:tc>
        <w:tc>
          <w:tcPr>
            <w:tcW w:w="6242"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vAlign w:val="center"/>
          </w:tcPr>
          <w:p w14:paraId="3C0B9202" w14:textId="77777777" w:rsidR="00487605" w:rsidRDefault="00000000">
            <w:pPr>
              <w:spacing w:after="0" w:line="248" w:lineRule="auto"/>
              <w:jc w:val="both"/>
            </w:pPr>
            <w:r>
              <w:rPr>
                <w:rFonts w:ascii="Times New Roman" w:eastAsia="Times New Roman" w:hAnsi="Times New Roman" w:cs="Times New Roman"/>
                <w:sz w:val="28"/>
              </w:rPr>
              <w:t>Verificările Corpului de control al prim-ministrului la Nuclearelectrica.</w:t>
            </w:r>
          </w:p>
        </w:tc>
        <w:tc>
          <w:tcPr>
            <w:tcW w:w="1390"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vAlign w:val="center"/>
          </w:tcPr>
          <w:p w14:paraId="22ED2E18" w14:textId="77777777" w:rsidR="00487605" w:rsidRDefault="00000000">
            <w:pPr>
              <w:spacing w:after="0" w:line="248" w:lineRule="auto"/>
            </w:pPr>
            <w:r>
              <w:rPr>
                <w:rFonts w:ascii="Times New Roman" w:eastAsia="Times New Roman" w:hAnsi="Times New Roman" w:cs="Times New Roman"/>
                <w:sz w:val="28"/>
              </w:rPr>
              <w:t>-</w:t>
            </w:r>
          </w:p>
        </w:tc>
      </w:tr>
      <w:tr w:rsidR="00487605" w14:paraId="1C2A1969" w14:textId="77777777">
        <w:tblPrEx>
          <w:tblCellMar>
            <w:top w:w="0" w:type="dxa"/>
            <w:bottom w:w="0" w:type="dxa"/>
          </w:tblCellMar>
        </w:tblPrEx>
        <w:tc>
          <w:tcPr>
            <w:tcW w:w="562"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vAlign w:val="center"/>
          </w:tcPr>
          <w:p w14:paraId="39061555" w14:textId="77777777" w:rsidR="00487605" w:rsidRDefault="00000000">
            <w:pPr>
              <w:spacing w:after="0" w:line="248" w:lineRule="auto"/>
              <w:jc w:val="center"/>
            </w:pPr>
            <w:r>
              <w:rPr>
                <w:rFonts w:ascii="Times New Roman" w:eastAsia="Times New Roman" w:hAnsi="Times New Roman" w:cs="Times New Roman"/>
                <w:sz w:val="28"/>
              </w:rPr>
              <w:t>17</w:t>
            </w:r>
          </w:p>
        </w:tc>
        <w:tc>
          <w:tcPr>
            <w:tcW w:w="1630"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vAlign w:val="center"/>
          </w:tcPr>
          <w:p w14:paraId="396D1FBE" w14:textId="77777777" w:rsidR="00487605" w:rsidRDefault="00000000">
            <w:pPr>
              <w:spacing w:after="0" w:line="248" w:lineRule="auto"/>
            </w:pPr>
            <w:r>
              <w:rPr>
                <w:rFonts w:ascii="Times New Roman" w:eastAsia="Times New Roman" w:hAnsi="Times New Roman" w:cs="Times New Roman"/>
                <w:sz w:val="28"/>
              </w:rPr>
              <w:t>31.03.2026</w:t>
            </w:r>
          </w:p>
        </w:tc>
        <w:tc>
          <w:tcPr>
            <w:tcW w:w="6242"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vAlign w:val="center"/>
          </w:tcPr>
          <w:p w14:paraId="2A67968A" w14:textId="77777777" w:rsidR="00487605" w:rsidRDefault="00000000">
            <w:pPr>
              <w:spacing w:after="0" w:line="248" w:lineRule="auto"/>
              <w:jc w:val="both"/>
            </w:pPr>
            <w:r>
              <w:rPr>
                <w:rFonts w:ascii="Times New Roman" w:eastAsia="Times New Roman" w:hAnsi="Times New Roman" w:cs="Times New Roman"/>
                <w:sz w:val="28"/>
              </w:rPr>
              <w:t>Cheltuielile cumulate ale proiectului ajung la ~275,8 mil. USD (75,6% inginerie, 18,3% amplasament, 6,1% funcționare), finanțate de Nuclearelectrica prin împrumuturi de ~228,6 mil. USD și din aportul la capitalul social subscris și vărsat de cei doi acționari</w:t>
            </w:r>
          </w:p>
        </w:tc>
        <w:tc>
          <w:tcPr>
            <w:tcW w:w="1390"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vAlign w:val="center"/>
          </w:tcPr>
          <w:p w14:paraId="6306EFCB" w14:textId="77777777" w:rsidR="00487605" w:rsidRDefault="00000000">
            <w:pPr>
              <w:spacing w:after="0" w:line="248" w:lineRule="auto"/>
            </w:pPr>
            <w:r>
              <w:rPr>
                <w:rFonts w:ascii="Times New Roman" w:eastAsia="Times New Roman" w:hAnsi="Times New Roman" w:cs="Times New Roman"/>
                <w:sz w:val="28"/>
              </w:rPr>
              <w:t>~275,8 mil. USD</w:t>
            </w:r>
          </w:p>
        </w:tc>
      </w:tr>
      <w:tr w:rsidR="00487605" w14:paraId="42BBBFD8" w14:textId="77777777">
        <w:tblPrEx>
          <w:tblCellMar>
            <w:top w:w="0" w:type="dxa"/>
            <w:bottom w:w="0" w:type="dxa"/>
          </w:tblCellMar>
        </w:tblPrEx>
        <w:tc>
          <w:tcPr>
            <w:tcW w:w="562"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vAlign w:val="center"/>
          </w:tcPr>
          <w:p w14:paraId="161DA2BF" w14:textId="77777777" w:rsidR="00487605" w:rsidRDefault="00000000">
            <w:pPr>
              <w:spacing w:after="0" w:line="248" w:lineRule="auto"/>
              <w:jc w:val="center"/>
            </w:pPr>
            <w:r>
              <w:rPr>
                <w:rFonts w:ascii="Times New Roman" w:eastAsia="Times New Roman" w:hAnsi="Times New Roman" w:cs="Times New Roman"/>
                <w:sz w:val="28"/>
              </w:rPr>
              <w:t>18</w:t>
            </w:r>
          </w:p>
        </w:tc>
        <w:tc>
          <w:tcPr>
            <w:tcW w:w="1630"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vAlign w:val="center"/>
          </w:tcPr>
          <w:p w14:paraId="09F92573" w14:textId="77777777" w:rsidR="00487605" w:rsidRDefault="00000000">
            <w:pPr>
              <w:spacing w:after="0" w:line="248" w:lineRule="auto"/>
            </w:pPr>
            <w:r>
              <w:rPr>
                <w:rFonts w:ascii="Times New Roman" w:eastAsia="Times New Roman" w:hAnsi="Times New Roman" w:cs="Times New Roman"/>
                <w:sz w:val="28"/>
              </w:rPr>
              <w:t>10.06.2026</w:t>
            </w:r>
          </w:p>
        </w:tc>
        <w:tc>
          <w:tcPr>
            <w:tcW w:w="6242"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vAlign w:val="center"/>
          </w:tcPr>
          <w:p w14:paraId="361E58C3" w14:textId="77777777" w:rsidR="00487605" w:rsidRDefault="00000000">
            <w:pPr>
              <w:spacing w:after="0" w:line="248" w:lineRule="auto"/>
              <w:jc w:val="both"/>
            </w:pPr>
            <w:r>
              <w:rPr>
                <w:rFonts w:ascii="Times New Roman" w:eastAsia="Times New Roman" w:hAnsi="Times New Roman" w:cs="Times New Roman"/>
                <w:sz w:val="28"/>
              </w:rPr>
              <w:t>Raport finalizat. Constatare: dobândirea amplasamentului a presupus plata unei sume care depășește semnificativ prețul de piață, prin refacturarea unor costuri pe care evaluatorul le-a exclus. Pentru partea nucleară (~52 ha), prețul achiziției a fost ~46 mil. €, față de: valoarea de piață stabilită de KPMG (~24 mil. €); ~2,8 mil. € plătise Nova pentru aceeași parte în condițiile în care vânzătorul GECO nu a executat demolările asumate prin contractul încheiat la finele anului 2021.</w:t>
            </w:r>
          </w:p>
        </w:tc>
        <w:tc>
          <w:tcPr>
            <w:tcW w:w="1390"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vAlign w:val="center"/>
          </w:tcPr>
          <w:p w14:paraId="453FFC38" w14:textId="77777777" w:rsidR="00487605" w:rsidRDefault="00000000">
            <w:pPr>
              <w:spacing w:after="0" w:line="248" w:lineRule="auto"/>
            </w:pPr>
            <w:r>
              <w:rPr>
                <w:rFonts w:ascii="Times New Roman" w:eastAsia="Times New Roman" w:hAnsi="Times New Roman" w:cs="Times New Roman"/>
                <w:sz w:val="28"/>
              </w:rPr>
              <w:t>-</w:t>
            </w:r>
          </w:p>
        </w:tc>
      </w:tr>
    </w:tbl>
    <w:p w14:paraId="37BB9098" w14:textId="77777777" w:rsidR="00487605" w:rsidRDefault="00000000">
      <w:pPr>
        <w:spacing w:before="260" w:after="120" w:line="312" w:lineRule="auto"/>
        <w:rPr>
          <w:rFonts w:ascii="Times New Roman" w:eastAsia="Times New Roman" w:hAnsi="Times New Roman" w:cs="Times New Roman"/>
          <w:sz w:val="28"/>
        </w:rPr>
      </w:pPr>
      <w:r>
        <w:rPr>
          <w:rFonts w:ascii="Times New Roman" w:eastAsia="Times New Roman" w:hAnsi="Times New Roman" w:cs="Times New Roman"/>
          <w:sz w:val="28"/>
        </w:rPr>
        <w:t>Aportul terenului, participația de 50% și prețul aferent achiziției terenului</w:t>
      </w:r>
    </w:p>
    <w:p w14:paraId="31A6E9DE" w14:textId="77777777" w:rsidR="00487605" w:rsidRDefault="00000000">
      <w:pPr>
        <w:spacing w:after="14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1. Nova a fost selectat ca asociat în compania de proiect RoPower pe baza a două argumente: că deținea terenul de la Doicești și că avea experiența grupului E-INFRA în construcția de infrastructură energetică. Argumentul principal a fost proprietatea asupra terenului. Raportul constată că niciunul nu justifică o asociere.</w:t>
      </w:r>
    </w:p>
    <w:p w14:paraId="6B66AA89" w14:textId="77777777" w:rsidR="00487605" w:rsidRDefault="00000000">
      <w:pPr>
        <w:spacing w:after="14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2. În mod firesc, un acționar care aduce un bun într-o societate îl aduce aport în natură și primește în schimb acțiuni. Potrivit dispozițiilor Legii nr. 31/1990, valoarea aportului în natură se stabilește obligatoriu de experți independenți autorizați, numiți de registrul comerțului - tocmai pentru a preveni o supraevaluare a bunului. Un regim similar (evaluare, aprobare, publicitate în Monitorul Oficial etc) este aplicabil într-o perioadă de 2 ani de la constituirea societății și la achiziția de către aceasta a unui bun cu valoare semnificativă de la un acționar/fondator. </w:t>
      </w:r>
      <w:r>
        <w:rPr>
          <w:rFonts w:ascii="Times New Roman" w:eastAsia="Times New Roman" w:hAnsi="Times New Roman" w:cs="Times New Roman"/>
          <w:sz w:val="28"/>
        </w:rPr>
        <w:lastRenderedPageBreak/>
        <w:t>Dispozițiile ce reglementează această situație au fost expres introduse în scopul protecției celorlalți acționari (SNN a intrat în această categorie) și a terților.</w:t>
      </w:r>
    </w:p>
    <w:p w14:paraId="5CA92F25" w14:textId="77777777" w:rsidR="00487605" w:rsidRDefault="00000000">
      <w:pPr>
        <w:spacing w:after="14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3. Nova nu a adus terenul ca aport, ci l-a vândut companiei RoPower după mai mult de 2 ani: prețul de vânzare a fost de circa 24 de milioane euro, la care s-a adăugat un acord de refacturare de circa 22 milioane euro (cu TVA) - în total (cu TVA) circa 46 de milioane euro, preț de 16 ori mai mare decât suma achitată de Nova pentru suprafața aferentă proiectului nuclear (fără a fi incluse costurile de demolare și alte îmbunățiri). Achitarea prețului de vânzare a fost finanțată din împrumuturile acordate de Nuclearelectrica companiei RoPower. Suma refacturată nu a fost achitată la data finalizării controlului, termenul inițial stabilit pentru plată fiind prelungit pe perioada derulării acțiunii de control.</w:t>
      </w:r>
    </w:p>
    <w:p w14:paraId="61829580" w14:textId="77777777" w:rsidR="00487605" w:rsidRDefault="00000000">
      <w:pPr>
        <w:spacing w:after="14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4. Acordul Investitorilor (septembrie 2022) a prevăzut dobândirea terenului de la un acționar - operațiune care, dacă era făcută în primii 2 ani de la înființare, intra obligatoriu sub incidența art. 44¹ din Legea nr. 31/1990: aprobarea adunării generale a acționarilor, evaluarea de experți independenți (art. 38 și 39) și publicarea în Monitorul Oficial. Clauza, prevăzând cumpărarea la valoarea contabilă a vânzătorului, contravenea acestor dispoziții imperative.</w:t>
      </w:r>
    </w:p>
    <w:p w14:paraId="69AE4164" w14:textId="77777777" w:rsidR="00487605" w:rsidRDefault="00000000">
      <w:pPr>
        <w:spacing w:after="14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5. Fiind o tranzacție între firme afiliate (Nova și RoPower), art. 11 alin. (4) și art. 19 alin. (6) din Codul fiscal (Legea nr. 227/2015) impuneau ca prețul să fie cel de piață, nu valoarea din contabilitatea vânzătorului. Spre deosebire de art. 44¹, această cerință se aplică oricărei tranzacții între părți afiliate, indiferent de termen.</w:t>
      </w:r>
    </w:p>
    <w:p w14:paraId="5D0F76C3" w14:textId="77777777" w:rsidR="00487605" w:rsidRDefault="00000000">
      <w:pPr>
        <w:spacing w:after="14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6. Respectarea dispozițiilor legale a fost ocolită în trei pași: prețul a fost fixat inițial la valoarea contabilă din evidențele Nova; clauza a fost apoi modificată în „valoare de piață plus acord de refacturare”; iar tranzacția a fost amânată până la 5 iunie 2025, peste termenul de 2 ani - ieșind astfel din sfera de aplicare a dispozițiilor art. 44¹. Raportul reține că această întârziere „a scos SNN de sub protecția legii”.</w:t>
      </w:r>
    </w:p>
    <w:p w14:paraId="354C0416" w14:textId="77777777" w:rsidR="00487605" w:rsidRDefault="00000000">
      <w:pPr>
        <w:spacing w:after="14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7. În logica asocierii - și potrivit concluziei raportului - terenul ar fi trebuit să fie aportul care justifica participația de 50%, iar nu un bun vândut separat, contra unei sume de bani. Prin vânzare, același activ a produs un beneficiu partenerului privat. De asemenea, în prezent participația Nova la RoPower este în continuare de 50%, în condițiile în care singurele cheltuieli financiare sunt generate de aportul de 4 mil. € la capitalul social al RoPower. </w:t>
      </w:r>
    </w:p>
    <w:p w14:paraId="40459363" w14:textId="77777777" w:rsidR="00487605" w:rsidRDefault="00000000">
      <w:pPr>
        <w:spacing w:after="14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8. Corpul de control reține că „conduita partenerului privat a fost una care a avut ca rezultat vânzarea terenului și refacturarea suplimentară a lucrărilor (...)” pentru a crea doar aparența unei tranzacții derulate în condiții de piață liberă, iar asocierea în cote egale nu a avut „o justificare logică sau economică” în contextul în care riscurile, obligațiile și drepturile nu au fost stabilite echilibrat între compania de </w:t>
      </w:r>
      <w:r>
        <w:rPr>
          <w:rFonts w:ascii="Times New Roman" w:eastAsia="Times New Roman" w:hAnsi="Times New Roman" w:cs="Times New Roman"/>
          <w:sz w:val="28"/>
        </w:rPr>
        <w:lastRenderedPageBreak/>
        <w:t>stat și Nova prin Acordul investitorilor, convenție ce prevalează Actului constitutiv al companiei de proiect.</w:t>
      </w:r>
    </w:p>
    <w:p w14:paraId="48341D2C" w14:textId="77777777" w:rsidR="00487605" w:rsidRDefault="00000000">
      <w:pPr>
        <w:spacing w:before="260" w:after="120" w:line="312" w:lineRule="auto"/>
        <w:rPr>
          <w:rFonts w:ascii="Times New Roman" w:eastAsia="Times New Roman" w:hAnsi="Times New Roman" w:cs="Times New Roman"/>
          <w:sz w:val="28"/>
        </w:rPr>
      </w:pPr>
      <w:r>
        <w:rPr>
          <w:rFonts w:ascii="Times New Roman" w:eastAsia="Times New Roman" w:hAnsi="Times New Roman" w:cs="Times New Roman"/>
          <w:sz w:val="28"/>
        </w:rPr>
        <w:t xml:space="preserve">Defalcarea valorilor </w:t>
      </w:r>
    </w:p>
    <w:tbl>
      <w:tblPr>
        <w:tblW w:w="0" w:type="auto"/>
        <w:tblInd w:w="80" w:type="dxa"/>
        <w:tblCellMar>
          <w:left w:w="10" w:type="dxa"/>
          <w:right w:w="10" w:type="dxa"/>
        </w:tblCellMar>
        <w:tblLook w:val="04A0" w:firstRow="1" w:lastRow="0" w:firstColumn="1" w:lastColumn="0" w:noHBand="0" w:noVBand="1"/>
      </w:tblPr>
      <w:tblGrid>
        <w:gridCol w:w="6500"/>
        <w:gridCol w:w="2570"/>
      </w:tblGrid>
      <w:tr w:rsidR="00487605" w14:paraId="7D233EDB" w14:textId="77777777">
        <w:tblPrEx>
          <w:tblCellMar>
            <w:top w:w="0" w:type="dxa"/>
            <w:bottom w:w="0" w:type="dxa"/>
          </w:tblCellMar>
        </w:tblPrEx>
        <w:trPr>
          <w:trHeight w:val="1"/>
        </w:trPr>
        <w:tc>
          <w:tcPr>
            <w:tcW w:w="6500"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vAlign w:val="center"/>
          </w:tcPr>
          <w:p w14:paraId="12500385" w14:textId="77777777" w:rsidR="00487605" w:rsidRDefault="00000000">
            <w:pPr>
              <w:spacing w:after="0" w:line="248" w:lineRule="auto"/>
            </w:pPr>
            <w:r>
              <w:rPr>
                <w:rFonts w:ascii="Times New Roman" w:eastAsia="Times New Roman" w:hAnsi="Times New Roman" w:cs="Times New Roman"/>
                <w:sz w:val="28"/>
              </w:rPr>
              <w:t>Element</w:t>
            </w:r>
          </w:p>
        </w:tc>
        <w:tc>
          <w:tcPr>
            <w:tcW w:w="2570"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vAlign w:val="center"/>
          </w:tcPr>
          <w:p w14:paraId="22A3B353" w14:textId="77777777" w:rsidR="00487605" w:rsidRDefault="00000000">
            <w:pPr>
              <w:spacing w:after="0" w:line="248" w:lineRule="auto"/>
              <w:jc w:val="right"/>
            </w:pPr>
            <w:r>
              <w:rPr>
                <w:rFonts w:ascii="Times New Roman" w:eastAsia="Times New Roman" w:hAnsi="Times New Roman" w:cs="Times New Roman"/>
                <w:sz w:val="28"/>
              </w:rPr>
              <w:t>Valoare</w:t>
            </w:r>
          </w:p>
        </w:tc>
      </w:tr>
      <w:tr w:rsidR="00487605" w14:paraId="6A5A6F7D" w14:textId="77777777">
        <w:tblPrEx>
          <w:tblCellMar>
            <w:top w:w="0" w:type="dxa"/>
            <w:bottom w:w="0" w:type="dxa"/>
          </w:tblCellMar>
        </w:tblPrEx>
        <w:trPr>
          <w:trHeight w:val="1"/>
        </w:trPr>
        <w:tc>
          <w:tcPr>
            <w:tcW w:w="6500"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vAlign w:val="center"/>
          </w:tcPr>
          <w:p w14:paraId="4C2F513E" w14:textId="77777777" w:rsidR="00487605" w:rsidRDefault="00000000">
            <w:pPr>
              <w:spacing w:after="0" w:line="248" w:lineRule="auto"/>
            </w:pPr>
            <w:r>
              <w:rPr>
                <w:rFonts w:ascii="Times New Roman" w:eastAsia="Times New Roman" w:hAnsi="Times New Roman" w:cs="Times New Roman"/>
                <w:sz w:val="28"/>
              </w:rPr>
              <w:t>Cât a plătit Nova pentru terenul nuclear (~52 ha)</w:t>
            </w:r>
          </w:p>
        </w:tc>
        <w:tc>
          <w:tcPr>
            <w:tcW w:w="2570"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vAlign w:val="center"/>
          </w:tcPr>
          <w:p w14:paraId="4E4C90C3" w14:textId="77777777" w:rsidR="00487605" w:rsidRDefault="00000000">
            <w:pPr>
              <w:spacing w:after="0" w:line="248" w:lineRule="auto"/>
              <w:jc w:val="right"/>
            </w:pPr>
            <w:r>
              <w:rPr>
                <w:rFonts w:ascii="Times New Roman" w:eastAsia="Times New Roman" w:hAnsi="Times New Roman" w:cs="Times New Roman"/>
                <w:sz w:val="28"/>
              </w:rPr>
              <w:t>~2,8 mil. €</w:t>
            </w:r>
          </w:p>
        </w:tc>
      </w:tr>
      <w:tr w:rsidR="00487605" w14:paraId="386CABAC" w14:textId="77777777">
        <w:tblPrEx>
          <w:tblCellMar>
            <w:top w:w="0" w:type="dxa"/>
            <w:bottom w:w="0" w:type="dxa"/>
          </w:tblCellMar>
        </w:tblPrEx>
        <w:trPr>
          <w:trHeight w:val="1"/>
        </w:trPr>
        <w:tc>
          <w:tcPr>
            <w:tcW w:w="6500"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vAlign w:val="center"/>
          </w:tcPr>
          <w:p w14:paraId="2A7408C5" w14:textId="77777777" w:rsidR="00487605" w:rsidRDefault="00000000">
            <w:pPr>
              <w:spacing w:after="0" w:line="248" w:lineRule="auto"/>
            </w:pPr>
            <w:r>
              <w:rPr>
                <w:rFonts w:ascii="Times New Roman" w:eastAsia="Times New Roman" w:hAnsi="Times New Roman" w:cs="Times New Roman"/>
                <w:sz w:val="28"/>
              </w:rPr>
              <w:t>Cheltuieli înregistrate de Nova pentru amplasament (demolări, lucrări, dobânzi etc.)</w:t>
            </w:r>
          </w:p>
        </w:tc>
        <w:tc>
          <w:tcPr>
            <w:tcW w:w="2570"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vAlign w:val="center"/>
          </w:tcPr>
          <w:p w14:paraId="408138CB" w14:textId="77777777" w:rsidR="00487605" w:rsidRDefault="00000000">
            <w:pPr>
              <w:spacing w:after="0" w:line="248" w:lineRule="auto"/>
              <w:jc w:val="right"/>
            </w:pPr>
            <w:r>
              <w:rPr>
                <w:rFonts w:ascii="Times New Roman" w:eastAsia="Times New Roman" w:hAnsi="Times New Roman" w:cs="Times New Roman"/>
                <w:sz w:val="28"/>
              </w:rPr>
              <w:t>~35,8 mil. €</w:t>
            </w:r>
          </w:p>
        </w:tc>
      </w:tr>
      <w:tr w:rsidR="00487605" w14:paraId="221665A7" w14:textId="77777777">
        <w:tblPrEx>
          <w:tblCellMar>
            <w:top w:w="0" w:type="dxa"/>
            <w:bottom w:w="0" w:type="dxa"/>
          </w:tblCellMar>
        </w:tblPrEx>
        <w:trPr>
          <w:trHeight w:val="1"/>
        </w:trPr>
        <w:tc>
          <w:tcPr>
            <w:tcW w:w="6500"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vAlign w:val="center"/>
          </w:tcPr>
          <w:p w14:paraId="3C02BCDA" w14:textId="77777777" w:rsidR="00487605" w:rsidRDefault="00000000">
            <w:pPr>
              <w:spacing w:after="0" w:line="248" w:lineRule="auto"/>
            </w:pPr>
            <w:r>
              <w:rPr>
                <w:rFonts w:ascii="Times New Roman" w:eastAsia="Times New Roman" w:hAnsi="Times New Roman" w:cs="Times New Roman"/>
                <w:sz w:val="28"/>
              </w:rPr>
              <w:t>din acestea, recunoscute de evaluator ca adăugând valoare</w:t>
            </w:r>
          </w:p>
        </w:tc>
        <w:tc>
          <w:tcPr>
            <w:tcW w:w="2570"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vAlign w:val="center"/>
          </w:tcPr>
          <w:p w14:paraId="5013C917" w14:textId="77777777" w:rsidR="00487605" w:rsidRDefault="00000000">
            <w:pPr>
              <w:spacing w:after="0" w:line="248" w:lineRule="auto"/>
              <w:jc w:val="right"/>
            </w:pPr>
            <w:r>
              <w:rPr>
                <w:rFonts w:ascii="Times New Roman" w:eastAsia="Times New Roman" w:hAnsi="Times New Roman" w:cs="Times New Roman"/>
                <w:sz w:val="28"/>
              </w:rPr>
              <w:t>~16,7 mil. €</w:t>
            </w:r>
          </w:p>
        </w:tc>
      </w:tr>
      <w:tr w:rsidR="00487605" w14:paraId="38A368EF" w14:textId="77777777">
        <w:tblPrEx>
          <w:tblCellMar>
            <w:top w:w="0" w:type="dxa"/>
            <w:bottom w:w="0" w:type="dxa"/>
          </w:tblCellMar>
        </w:tblPrEx>
        <w:trPr>
          <w:trHeight w:val="1"/>
        </w:trPr>
        <w:tc>
          <w:tcPr>
            <w:tcW w:w="6500"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vAlign w:val="center"/>
          </w:tcPr>
          <w:p w14:paraId="50467987" w14:textId="77777777" w:rsidR="00487605" w:rsidRDefault="00000000">
            <w:pPr>
              <w:spacing w:after="0" w:line="248" w:lineRule="auto"/>
            </w:pPr>
            <w:r>
              <w:rPr>
                <w:rFonts w:ascii="Times New Roman" w:eastAsia="Times New Roman" w:hAnsi="Times New Roman" w:cs="Times New Roman"/>
                <w:sz w:val="28"/>
              </w:rPr>
              <w:t>din acestea, EXCLUSE de evaluator (nu adaugă valoare de piață)</w:t>
            </w:r>
          </w:p>
        </w:tc>
        <w:tc>
          <w:tcPr>
            <w:tcW w:w="2570"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vAlign w:val="center"/>
          </w:tcPr>
          <w:p w14:paraId="3AB12349" w14:textId="77777777" w:rsidR="00487605" w:rsidRDefault="00000000">
            <w:pPr>
              <w:spacing w:after="0" w:line="248" w:lineRule="auto"/>
              <w:jc w:val="right"/>
            </w:pPr>
            <w:r>
              <w:rPr>
                <w:rFonts w:ascii="Times New Roman" w:eastAsia="Times New Roman" w:hAnsi="Times New Roman" w:cs="Times New Roman"/>
                <w:sz w:val="28"/>
              </w:rPr>
              <w:t>~19,1 mil. €</w:t>
            </w:r>
          </w:p>
        </w:tc>
      </w:tr>
      <w:tr w:rsidR="00487605" w14:paraId="6A14805E" w14:textId="77777777">
        <w:tblPrEx>
          <w:tblCellMar>
            <w:top w:w="0" w:type="dxa"/>
            <w:bottom w:w="0" w:type="dxa"/>
          </w:tblCellMar>
        </w:tblPrEx>
        <w:trPr>
          <w:trHeight w:val="1"/>
        </w:trPr>
        <w:tc>
          <w:tcPr>
            <w:tcW w:w="6500"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vAlign w:val="center"/>
          </w:tcPr>
          <w:p w14:paraId="6FFD6240" w14:textId="77777777" w:rsidR="00487605" w:rsidRDefault="00000000">
            <w:pPr>
              <w:spacing w:after="0" w:line="248" w:lineRule="auto"/>
            </w:pPr>
            <w:r>
              <w:rPr>
                <w:rFonts w:ascii="Times New Roman" w:eastAsia="Times New Roman" w:hAnsi="Times New Roman" w:cs="Times New Roman"/>
                <w:sz w:val="28"/>
              </w:rPr>
              <w:t>Valoarea de piață a amplasamentului (evaluator ANEVAR)</w:t>
            </w:r>
          </w:p>
        </w:tc>
        <w:tc>
          <w:tcPr>
            <w:tcW w:w="2570"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vAlign w:val="center"/>
          </w:tcPr>
          <w:p w14:paraId="66AF31C0" w14:textId="77777777" w:rsidR="00487605" w:rsidRDefault="00000000">
            <w:pPr>
              <w:spacing w:after="0" w:line="248" w:lineRule="auto"/>
              <w:jc w:val="right"/>
            </w:pPr>
            <w:r>
              <w:rPr>
                <w:rFonts w:ascii="Times New Roman" w:eastAsia="Times New Roman" w:hAnsi="Times New Roman" w:cs="Times New Roman"/>
                <w:sz w:val="28"/>
              </w:rPr>
              <w:t>24,45 mil. €</w:t>
            </w:r>
          </w:p>
        </w:tc>
      </w:tr>
      <w:tr w:rsidR="00487605" w14:paraId="4EEFD064" w14:textId="77777777">
        <w:tblPrEx>
          <w:tblCellMar>
            <w:top w:w="0" w:type="dxa"/>
            <w:bottom w:w="0" w:type="dxa"/>
          </w:tblCellMar>
        </w:tblPrEx>
        <w:trPr>
          <w:trHeight w:val="1"/>
        </w:trPr>
        <w:tc>
          <w:tcPr>
            <w:tcW w:w="6500"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vAlign w:val="center"/>
          </w:tcPr>
          <w:p w14:paraId="2F8D8C63" w14:textId="77777777" w:rsidR="00487605" w:rsidRDefault="00000000">
            <w:pPr>
              <w:spacing w:after="0" w:line="248" w:lineRule="auto"/>
            </w:pPr>
            <w:r>
              <w:rPr>
                <w:rFonts w:ascii="Times New Roman" w:eastAsia="Times New Roman" w:hAnsi="Times New Roman" w:cs="Times New Roman"/>
                <w:sz w:val="28"/>
              </w:rPr>
              <w:t>Cât a fost contravaloarea transferului Nova- RoPower (vânzare + refacturare)</w:t>
            </w:r>
          </w:p>
        </w:tc>
        <w:tc>
          <w:tcPr>
            <w:tcW w:w="2570"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vAlign w:val="center"/>
          </w:tcPr>
          <w:p w14:paraId="644F7D91" w14:textId="77777777" w:rsidR="00487605" w:rsidRDefault="00000000">
            <w:pPr>
              <w:spacing w:after="0" w:line="248" w:lineRule="auto"/>
              <w:jc w:val="right"/>
              <w:rPr>
                <w:rFonts w:ascii="Times New Roman" w:eastAsia="Times New Roman" w:hAnsi="Times New Roman" w:cs="Times New Roman"/>
                <w:sz w:val="28"/>
              </w:rPr>
            </w:pPr>
            <w:r>
              <w:rPr>
                <w:rFonts w:ascii="Times New Roman" w:eastAsia="Times New Roman" w:hAnsi="Times New Roman" w:cs="Times New Roman"/>
                <w:sz w:val="28"/>
              </w:rPr>
              <w:t>~46,39 mil. €</w:t>
            </w:r>
          </w:p>
          <w:p w14:paraId="58910814" w14:textId="77777777" w:rsidR="00487605" w:rsidRDefault="00000000">
            <w:pPr>
              <w:spacing w:after="0" w:line="248" w:lineRule="auto"/>
              <w:jc w:val="right"/>
            </w:pPr>
            <w:r>
              <w:rPr>
                <w:rFonts w:ascii="Times New Roman" w:eastAsia="Times New Roman" w:hAnsi="Times New Roman" w:cs="Times New Roman"/>
                <w:sz w:val="28"/>
              </w:rPr>
              <w:t>(inclusiv TVA)</w:t>
            </w:r>
          </w:p>
        </w:tc>
      </w:tr>
      <w:tr w:rsidR="00487605" w14:paraId="3DCA027E" w14:textId="77777777">
        <w:tblPrEx>
          <w:tblCellMar>
            <w:top w:w="0" w:type="dxa"/>
            <w:bottom w:w="0" w:type="dxa"/>
          </w:tblCellMar>
        </w:tblPrEx>
        <w:trPr>
          <w:trHeight w:val="1"/>
        </w:trPr>
        <w:tc>
          <w:tcPr>
            <w:tcW w:w="6500"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vAlign w:val="center"/>
          </w:tcPr>
          <w:p w14:paraId="611A6019" w14:textId="77777777" w:rsidR="00487605" w:rsidRDefault="00000000">
            <w:pPr>
              <w:spacing w:after="0" w:line="248" w:lineRule="auto"/>
            </w:pPr>
            <w:r>
              <w:rPr>
                <w:rFonts w:ascii="Times New Roman" w:eastAsia="Times New Roman" w:hAnsi="Times New Roman" w:cs="Times New Roman"/>
                <w:sz w:val="28"/>
              </w:rPr>
              <w:t>din care, preț de vânzare achitat de RoPower din creditul acordat de SNN (= valoarea de piață)</w:t>
            </w:r>
          </w:p>
        </w:tc>
        <w:tc>
          <w:tcPr>
            <w:tcW w:w="2570"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vAlign w:val="center"/>
          </w:tcPr>
          <w:p w14:paraId="4BE57BC5" w14:textId="77777777" w:rsidR="00487605" w:rsidRDefault="00000000">
            <w:pPr>
              <w:spacing w:after="0" w:line="248" w:lineRule="auto"/>
              <w:jc w:val="right"/>
            </w:pPr>
            <w:r>
              <w:rPr>
                <w:rFonts w:ascii="Times New Roman" w:eastAsia="Times New Roman" w:hAnsi="Times New Roman" w:cs="Times New Roman"/>
                <w:sz w:val="28"/>
              </w:rPr>
              <w:t>24,34 mil. €</w:t>
            </w:r>
          </w:p>
        </w:tc>
      </w:tr>
      <w:tr w:rsidR="00487605" w14:paraId="013025F0" w14:textId="77777777">
        <w:tblPrEx>
          <w:tblCellMar>
            <w:top w:w="0" w:type="dxa"/>
            <w:bottom w:w="0" w:type="dxa"/>
          </w:tblCellMar>
        </w:tblPrEx>
        <w:trPr>
          <w:trHeight w:val="1"/>
        </w:trPr>
        <w:tc>
          <w:tcPr>
            <w:tcW w:w="6500"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vAlign w:val="center"/>
          </w:tcPr>
          <w:p w14:paraId="09CE7205" w14:textId="77777777" w:rsidR="00487605" w:rsidRDefault="00000000">
            <w:pPr>
              <w:spacing w:after="0" w:line="248" w:lineRule="auto"/>
            </w:pPr>
            <w:r>
              <w:rPr>
                <w:rFonts w:ascii="Times New Roman" w:eastAsia="Times New Roman" w:hAnsi="Times New Roman" w:cs="Times New Roman"/>
                <w:sz w:val="28"/>
              </w:rPr>
              <w:t>din care, refacturare costuri, valoare de încasat de Nova de la RoPower</w:t>
            </w:r>
          </w:p>
        </w:tc>
        <w:tc>
          <w:tcPr>
            <w:tcW w:w="2570"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vAlign w:val="center"/>
          </w:tcPr>
          <w:p w14:paraId="4FF8DFEA" w14:textId="77777777" w:rsidR="00487605" w:rsidRDefault="00000000">
            <w:pPr>
              <w:spacing w:after="0" w:line="248" w:lineRule="auto"/>
              <w:jc w:val="right"/>
              <w:rPr>
                <w:rFonts w:ascii="Times New Roman" w:eastAsia="Times New Roman" w:hAnsi="Times New Roman" w:cs="Times New Roman"/>
                <w:sz w:val="28"/>
              </w:rPr>
            </w:pPr>
            <w:r>
              <w:rPr>
                <w:rFonts w:ascii="Times New Roman" w:eastAsia="Times New Roman" w:hAnsi="Times New Roman" w:cs="Times New Roman"/>
                <w:sz w:val="28"/>
              </w:rPr>
              <w:t>22,05 mil. €</w:t>
            </w:r>
          </w:p>
          <w:p w14:paraId="19B2F365" w14:textId="77777777" w:rsidR="00487605" w:rsidRDefault="00000000">
            <w:pPr>
              <w:spacing w:after="0" w:line="248" w:lineRule="auto"/>
              <w:jc w:val="right"/>
            </w:pPr>
            <w:r>
              <w:rPr>
                <w:rFonts w:ascii="Times New Roman" w:eastAsia="Times New Roman" w:hAnsi="Times New Roman" w:cs="Times New Roman"/>
                <w:sz w:val="28"/>
              </w:rPr>
              <w:t>(inclusiv TVA)</w:t>
            </w:r>
          </w:p>
        </w:tc>
      </w:tr>
    </w:tbl>
    <w:p w14:paraId="2F2C1D2A" w14:textId="77777777" w:rsidR="00487605" w:rsidRDefault="00000000">
      <w:pPr>
        <w:spacing w:after="120" w:line="312"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Refacturarea de ~19,49 milioane €, fără TVA, este chiar mai mare decât costurile pe care evaluatorul le-a exclus din valoarea terenului (~19,1 milioane). </w:t>
      </w:r>
    </w:p>
    <w:p w14:paraId="4A6797D8" w14:textId="77777777" w:rsidR="00487605" w:rsidRDefault="00000000">
      <w:pPr>
        <w:spacing w:before="260" w:after="120" w:line="312" w:lineRule="auto"/>
        <w:rPr>
          <w:rFonts w:ascii="Times New Roman" w:eastAsia="Times New Roman" w:hAnsi="Times New Roman" w:cs="Times New Roman"/>
          <w:sz w:val="28"/>
        </w:rPr>
      </w:pPr>
      <w:r>
        <w:rPr>
          <w:rFonts w:ascii="Times New Roman" w:eastAsia="Times New Roman" w:hAnsi="Times New Roman" w:cs="Times New Roman"/>
          <w:sz w:val="28"/>
        </w:rPr>
        <w:t>Ce conțin cele 19,49 milioane (fără TVA) refacturate</w:t>
      </w:r>
    </w:p>
    <w:tbl>
      <w:tblPr>
        <w:tblW w:w="0" w:type="auto"/>
        <w:tblInd w:w="80" w:type="dxa"/>
        <w:tblCellMar>
          <w:left w:w="10" w:type="dxa"/>
          <w:right w:w="10" w:type="dxa"/>
        </w:tblCellMar>
        <w:tblLook w:val="04A0" w:firstRow="1" w:lastRow="0" w:firstColumn="1" w:lastColumn="0" w:noHBand="0" w:noVBand="1"/>
      </w:tblPr>
      <w:tblGrid>
        <w:gridCol w:w="4600"/>
        <w:gridCol w:w="2300"/>
        <w:gridCol w:w="2170"/>
      </w:tblGrid>
      <w:tr w:rsidR="00487605" w14:paraId="7E710696" w14:textId="77777777">
        <w:tblPrEx>
          <w:tblCellMar>
            <w:top w:w="0" w:type="dxa"/>
            <w:bottom w:w="0" w:type="dxa"/>
          </w:tblCellMar>
        </w:tblPrEx>
        <w:trPr>
          <w:trHeight w:val="1"/>
        </w:trPr>
        <w:tc>
          <w:tcPr>
            <w:tcW w:w="4600"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vAlign w:val="center"/>
          </w:tcPr>
          <w:p w14:paraId="033918AB" w14:textId="77777777" w:rsidR="00487605" w:rsidRDefault="00000000">
            <w:pPr>
              <w:spacing w:after="0" w:line="248" w:lineRule="auto"/>
            </w:pPr>
            <w:r>
              <w:rPr>
                <w:rFonts w:ascii="Times New Roman" w:eastAsia="Times New Roman" w:hAnsi="Times New Roman" w:cs="Times New Roman"/>
                <w:sz w:val="28"/>
              </w:rPr>
              <w:t>Categorie de cost</w:t>
            </w:r>
          </w:p>
        </w:tc>
        <w:tc>
          <w:tcPr>
            <w:tcW w:w="2300"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vAlign w:val="center"/>
          </w:tcPr>
          <w:p w14:paraId="40741629" w14:textId="77777777" w:rsidR="00487605" w:rsidRDefault="00000000">
            <w:pPr>
              <w:spacing w:after="0" w:line="248" w:lineRule="auto"/>
            </w:pPr>
            <w:r>
              <w:rPr>
                <w:rFonts w:ascii="Times New Roman" w:eastAsia="Times New Roman" w:hAnsi="Times New Roman" w:cs="Times New Roman"/>
                <w:sz w:val="28"/>
              </w:rPr>
              <w:t>Furnizor</w:t>
            </w:r>
          </w:p>
        </w:tc>
        <w:tc>
          <w:tcPr>
            <w:tcW w:w="2170"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vAlign w:val="center"/>
          </w:tcPr>
          <w:p w14:paraId="40830C06" w14:textId="77777777" w:rsidR="00487605" w:rsidRDefault="00000000">
            <w:pPr>
              <w:spacing w:after="0" w:line="248" w:lineRule="auto"/>
              <w:jc w:val="right"/>
            </w:pPr>
            <w:r>
              <w:rPr>
                <w:rFonts w:ascii="Times New Roman" w:eastAsia="Times New Roman" w:hAnsi="Times New Roman" w:cs="Times New Roman"/>
                <w:sz w:val="28"/>
              </w:rPr>
              <w:t>Valoare</w:t>
            </w:r>
          </w:p>
        </w:tc>
      </w:tr>
      <w:tr w:rsidR="00487605" w14:paraId="70619665" w14:textId="77777777">
        <w:tblPrEx>
          <w:tblCellMar>
            <w:top w:w="0" w:type="dxa"/>
            <w:bottom w:w="0" w:type="dxa"/>
          </w:tblCellMar>
        </w:tblPrEx>
        <w:trPr>
          <w:trHeight w:val="1"/>
        </w:trPr>
        <w:tc>
          <w:tcPr>
            <w:tcW w:w="4600"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vAlign w:val="center"/>
          </w:tcPr>
          <w:p w14:paraId="5116A27A" w14:textId="77777777" w:rsidR="00487605" w:rsidRDefault="00000000">
            <w:pPr>
              <w:spacing w:after="0" w:line="248" w:lineRule="auto"/>
            </w:pPr>
            <w:r>
              <w:rPr>
                <w:rFonts w:ascii="Times New Roman" w:eastAsia="Times New Roman" w:hAnsi="Times New Roman" w:cs="Times New Roman"/>
                <w:sz w:val="28"/>
              </w:rPr>
              <w:t>Curățarea/dezafectarea rezervoarelor de păcură</w:t>
            </w:r>
          </w:p>
        </w:tc>
        <w:tc>
          <w:tcPr>
            <w:tcW w:w="2300"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vAlign w:val="center"/>
          </w:tcPr>
          <w:p w14:paraId="6C63F111" w14:textId="77777777" w:rsidR="00487605" w:rsidRDefault="00000000">
            <w:pPr>
              <w:spacing w:after="0" w:line="248" w:lineRule="auto"/>
            </w:pPr>
            <w:r>
              <w:rPr>
                <w:rFonts w:ascii="Times New Roman" w:eastAsia="Times New Roman" w:hAnsi="Times New Roman" w:cs="Times New Roman"/>
                <w:sz w:val="28"/>
              </w:rPr>
              <w:t>BS Recycling</w:t>
            </w:r>
          </w:p>
        </w:tc>
        <w:tc>
          <w:tcPr>
            <w:tcW w:w="2170"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vAlign w:val="center"/>
          </w:tcPr>
          <w:p w14:paraId="512415B5" w14:textId="77777777" w:rsidR="00487605" w:rsidRDefault="00000000">
            <w:pPr>
              <w:spacing w:after="0" w:line="248" w:lineRule="auto"/>
              <w:jc w:val="right"/>
            </w:pPr>
            <w:r>
              <w:rPr>
                <w:rFonts w:ascii="Times New Roman" w:eastAsia="Times New Roman" w:hAnsi="Times New Roman" w:cs="Times New Roman"/>
                <w:sz w:val="28"/>
              </w:rPr>
              <w:t>4,54 mil. €</w:t>
            </w:r>
          </w:p>
        </w:tc>
      </w:tr>
      <w:tr w:rsidR="00487605" w14:paraId="6D9743C7" w14:textId="77777777">
        <w:tblPrEx>
          <w:tblCellMar>
            <w:top w:w="0" w:type="dxa"/>
            <w:bottom w:w="0" w:type="dxa"/>
          </w:tblCellMar>
        </w:tblPrEx>
        <w:trPr>
          <w:trHeight w:val="1"/>
        </w:trPr>
        <w:tc>
          <w:tcPr>
            <w:tcW w:w="4600"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vAlign w:val="center"/>
          </w:tcPr>
          <w:p w14:paraId="6AD39221" w14:textId="77777777" w:rsidR="00487605" w:rsidRDefault="00000000">
            <w:pPr>
              <w:spacing w:after="0" w:line="248" w:lineRule="auto"/>
            </w:pPr>
            <w:r>
              <w:rPr>
                <w:rFonts w:ascii="Times New Roman" w:eastAsia="Times New Roman" w:hAnsi="Times New Roman" w:cs="Times New Roman"/>
                <w:sz w:val="28"/>
              </w:rPr>
              <w:t>Smulgerea fundațiilor vechi</w:t>
            </w:r>
          </w:p>
        </w:tc>
        <w:tc>
          <w:tcPr>
            <w:tcW w:w="2300"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vAlign w:val="center"/>
          </w:tcPr>
          <w:p w14:paraId="5199FC7D" w14:textId="77777777" w:rsidR="00487605" w:rsidRDefault="00000000">
            <w:pPr>
              <w:spacing w:after="0" w:line="248" w:lineRule="auto"/>
            </w:pPr>
            <w:r>
              <w:rPr>
                <w:rFonts w:ascii="Times New Roman" w:eastAsia="Times New Roman" w:hAnsi="Times New Roman" w:cs="Times New Roman"/>
                <w:sz w:val="28"/>
              </w:rPr>
              <w:t>Novatex</w:t>
            </w:r>
          </w:p>
        </w:tc>
        <w:tc>
          <w:tcPr>
            <w:tcW w:w="2170"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vAlign w:val="center"/>
          </w:tcPr>
          <w:p w14:paraId="1B783508" w14:textId="77777777" w:rsidR="00487605" w:rsidRDefault="00000000">
            <w:pPr>
              <w:spacing w:after="0" w:line="248" w:lineRule="auto"/>
              <w:jc w:val="right"/>
            </w:pPr>
            <w:r>
              <w:rPr>
                <w:rFonts w:ascii="Times New Roman" w:eastAsia="Times New Roman" w:hAnsi="Times New Roman" w:cs="Times New Roman"/>
                <w:sz w:val="28"/>
              </w:rPr>
              <w:t>3,47 mil. €</w:t>
            </w:r>
          </w:p>
        </w:tc>
      </w:tr>
      <w:tr w:rsidR="00487605" w14:paraId="75392671" w14:textId="77777777">
        <w:tblPrEx>
          <w:tblCellMar>
            <w:top w:w="0" w:type="dxa"/>
            <w:bottom w:w="0" w:type="dxa"/>
          </w:tblCellMar>
        </w:tblPrEx>
        <w:trPr>
          <w:trHeight w:val="1"/>
        </w:trPr>
        <w:tc>
          <w:tcPr>
            <w:tcW w:w="4600"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vAlign w:val="center"/>
          </w:tcPr>
          <w:p w14:paraId="5F101B42" w14:textId="77777777" w:rsidR="00487605" w:rsidRDefault="00000000">
            <w:pPr>
              <w:spacing w:after="0" w:line="248" w:lineRule="auto"/>
            </w:pPr>
            <w:r>
              <w:rPr>
                <w:rFonts w:ascii="Times New Roman" w:eastAsia="Times New Roman" w:hAnsi="Times New Roman" w:cs="Times New Roman"/>
                <w:sz w:val="28"/>
              </w:rPr>
              <w:t>Lucrări de amenajare a sitului SMR (inclusiv stații de încărcare electrică)</w:t>
            </w:r>
          </w:p>
        </w:tc>
        <w:tc>
          <w:tcPr>
            <w:tcW w:w="2300"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vAlign w:val="center"/>
          </w:tcPr>
          <w:p w14:paraId="07F29776" w14:textId="77777777" w:rsidR="00487605" w:rsidRDefault="00000000">
            <w:pPr>
              <w:spacing w:after="0" w:line="248" w:lineRule="auto"/>
            </w:pPr>
            <w:r>
              <w:rPr>
                <w:rFonts w:ascii="Times New Roman" w:eastAsia="Times New Roman" w:hAnsi="Times New Roman" w:cs="Times New Roman"/>
                <w:sz w:val="28"/>
              </w:rPr>
              <w:t>Electrogrup (grup E-Infra)</w:t>
            </w:r>
          </w:p>
        </w:tc>
        <w:tc>
          <w:tcPr>
            <w:tcW w:w="2170"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vAlign w:val="center"/>
          </w:tcPr>
          <w:p w14:paraId="00A92D3D" w14:textId="77777777" w:rsidR="00487605" w:rsidRDefault="00000000">
            <w:pPr>
              <w:spacing w:after="0" w:line="248" w:lineRule="auto"/>
              <w:jc w:val="right"/>
            </w:pPr>
            <w:r>
              <w:rPr>
                <w:rFonts w:ascii="Times New Roman" w:eastAsia="Times New Roman" w:hAnsi="Times New Roman" w:cs="Times New Roman"/>
                <w:sz w:val="28"/>
              </w:rPr>
              <w:t>4,81 mil. €</w:t>
            </w:r>
          </w:p>
        </w:tc>
      </w:tr>
      <w:tr w:rsidR="00487605" w14:paraId="555FE1E6" w14:textId="77777777">
        <w:tblPrEx>
          <w:tblCellMar>
            <w:top w:w="0" w:type="dxa"/>
            <w:bottom w:w="0" w:type="dxa"/>
          </w:tblCellMar>
        </w:tblPrEx>
        <w:trPr>
          <w:trHeight w:val="1"/>
        </w:trPr>
        <w:tc>
          <w:tcPr>
            <w:tcW w:w="4600"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vAlign w:val="center"/>
          </w:tcPr>
          <w:p w14:paraId="2C84C07A" w14:textId="77777777" w:rsidR="00487605" w:rsidRDefault="00000000">
            <w:pPr>
              <w:spacing w:after="0" w:line="248" w:lineRule="auto"/>
            </w:pPr>
            <w:r>
              <w:rPr>
                <w:rFonts w:ascii="Times New Roman" w:eastAsia="Times New Roman" w:hAnsi="Times New Roman" w:cs="Times New Roman"/>
                <w:sz w:val="28"/>
              </w:rPr>
              <w:t>Cheltuieli de funcționare Nova, din care ~5,44 mil. dobândă pe capitalul propriu Nova (~10%)</w:t>
            </w:r>
          </w:p>
        </w:tc>
        <w:tc>
          <w:tcPr>
            <w:tcW w:w="2300"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vAlign w:val="center"/>
          </w:tcPr>
          <w:p w14:paraId="7BD8DE42" w14:textId="77777777" w:rsidR="00487605" w:rsidRDefault="00000000">
            <w:pPr>
              <w:spacing w:after="0" w:line="248" w:lineRule="auto"/>
            </w:pPr>
            <w:r>
              <w:rPr>
                <w:rFonts w:ascii="Times New Roman" w:eastAsia="Times New Roman" w:hAnsi="Times New Roman" w:cs="Times New Roman"/>
                <w:sz w:val="28"/>
              </w:rPr>
              <w:t>Nova</w:t>
            </w:r>
          </w:p>
        </w:tc>
        <w:tc>
          <w:tcPr>
            <w:tcW w:w="2170"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vAlign w:val="center"/>
          </w:tcPr>
          <w:p w14:paraId="49D3974B" w14:textId="77777777" w:rsidR="00487605" w:rsidRDefault="00000000">
            <w:pPr>
              <w:spacing w:after="0" w:line="248" w:lineRule="auto"/>
              <w:jc w:val="right"/>
            </w:pPr>
            <w:r>
              <w:rPr>
                <w:rFonts w:ascii="Times New Roman" w:eastAsia="Times New Roman" w:hAnsi="Times New Roman" w:cs="Times New Roman"/>
                <w:sz w:val="28"/>
              </w:rPr>
              <w:t>6,23 mil. €</w:t>
            </w:r>
          </w:p>
        </w:tc>
      </w:tr>
      <w:tr w:rsidR="00487605" w14:paraId="341A14F5" w14:textId="77777777">
        <w:tblPrEx>
          <w:tblCellMar>
            <w:top w:w="0" w:type="dxa"/>
            <w:bottom w:w="0" w:type="dxa"/>
          </w:tblCellMar>
        </w:tblPrEx>
        <w:trPr>
          <w:trHeight w:val="1"/>
        </w:trPr>
        <w:tc>
          <w:tcPr>
            <w:tcW w:w="4600"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vAlign w:val="center"/>
          </w:tcPr>
          <w:p w14:paraId="5A6A2399" w14:textId="77777777" w:rsidR="00487605" w:rsidRDefault="00000000">
            <w:pPr>
              <w:spacing w:after="0" w:line="248" w:lineRule="auto"/>
            </w:pPr>
            <w:r>
              <w:rPr>
                <w:rFonts w:ascii="Times New Roman" w:eastAsia="Times New Roman" w:hAnsi="Times New Roman" w:cs="Times New Roman"/>
                <w:sz w:val="28"/>
              </w:rPr>
              <w:t>Renovarea și dotarea clădirii administrative (sediul RoPower) de la Doicești</w:t>
            </w:r>
          </w:p>
        </w:tc>
        <w:tc>
          <w:tcPr>
            <w:tcW w:w="2300"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vAlign w:val="center"/>
          </w:tcPr>
          <w:p w14:paraId="34E485C4" w14:textId="77777777" w:rsidR="00487605" w:rsidRDefault="00000000">
            <w:pPr>
              <w:spacing w:after="0" w:line="248" w:lineRule="auto"/>
            </w:pPr>
            <w:r>
              <w:rPr>
                <w:rFonts w:ascii="Times New Roman" w:eastAsia="Times New Roman" w:hAnsi="Times New Roman" w:cs="Times New Roman"/>
                <w:sz w:val="28"/>
              </w:rPr>
              <w:t>-</w:t>
            </w:r>
          </w:p>
        </w:tc>
        <w:tc>
          <w:tcPr>
            <w:tcW w:w="2170"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vAlign w:val="center"/>
          </w:tcPr>
          <w:p w14:paraId="3DEC7A3C" w14:textId="77777777" w:rsidR="00487605" w:rsidRDefault="00000000">
            <w:pPr>
              <w:spacing w:after="0" w:line="248" w:lineRule="auto"/>
              <w:jc w:val="right"/>
            </w:pPr>
            <w:r>
              <w:rPr>
                <w:rFonts w:ascii="Times New Roman" w:eastAsia="Times New Roman" w:hAnsi="Times New Roman" w:cs="Times New Roman"/>
                <w:sz w:val="28"/>
              </w:rPr>
              <w:t>0,44 mil. €</w:t>
            </w:r>
          </w:p>
        </w:tc>
      </w:tr>
      <w:tr w:rsidR="00487605" w14:paraId="58E8AFEE" w14:textId="77777777">
        <w:tblPrEx>
          <w:tblCellMar>
            <w:top w:w="0" w:type="dxa"/>
            <w:bottom w:w="0" w:type="dxa"/>
          </w:tblCellMar>
        </w:tblPrEx>
        <w:trPr>
          <w:trHeight w:val="1"/>
        </w:trPr>
        <w:tc>
          <w:tcPr>
            <w:tcW w:w="4600"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vAlign w:val="center"/>
          </w:tcPr>
          <w:p w14:paraId="67A2C794" w14:textId="77777777" w:rsidR="00487605" w:rsidRDefault="00000000">
            <w:pPr>
              <w:spacing w:after="0" w:line="248" w:lineRule="auto"/>
            </w:pPr>
            <w:r>
              <w:rPr>
                <w:rFonts w:ascii="Times New Roman" w:eastAsia="Times New Roman" w:hAnsi="Times New Roman" w:cs="Times New Roman"/>
                <w:sz w:val="28"/>
              </w:rPr>
              <w:t>TOTAL</w:t>
            </w:r>
          </w:p>
        </w:tc>
        <w:tc>
          <w:tcPr>
            <w:tcW w:w="2300"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vAlign w:val="center"/>
          </w:tcPr>
          <w:p w14:paraId="6ACF6B07" w14:textId="77777777" w:rsidR="00487605" w:rsidRDefault="00487605">
            <w:pPr>
              <w:spacing w:after="0" w:line="248" w:lineRule="auto"/>
              <w:rPr>
                <w:rFonts w:ascii="Calibri" w:eastAsia="Calibri" w:hAnsi="Calibri" w:cs="Calibri"/>
                <w:sz w:val="22"/>
              </w:rPr>
            </w:pPr>
          </w:p>
        </w:tc>
        <w:tc>
          <w:tcPr>
            <w:tcW w:w="2170"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vAlign w:val="center"/>
          </w:tcPr>
          <w:p w14:paraId="3249EBD2" w14:textId="77777777" w:rsidR="00487605" w:rsidRDefault="00000000">
            <w:pPr>
              <w:spacing w:after="0" w:line="248" w:lineRule="auto"/>
              <w:jc w:val="right"/>
            </w:pPr>
            <w:r>
              <w:rPr>
                <w:rFonts w:ascii="Times New Roman" w:eastAsia="Times New Roman" w:hAnsi="Times New Roman" w:cs="Times New Roman"/>
                <w:sz w:val="28"/>
              </w:rPr>
              <w:t>19,49 mil. €</w:t>
            </w:r>
          </w:p>
        </w:tc>
      </w:tr>
    </w:tbl>
    <w:p w14:paraId="71B212BA" w14:textId="77777777" w:rsidR="00487605" w:rsidRDefault="00000000">
      <w:pPr>
        <w:spacing w:before="260" w:after="120" w:line="312" w:lineRule="auto"/>
        <w:rPr>
          <w:rFonts w:ascii="Times New Roman" w:eastAsia="Times New Roman" w:hAnsi="Times New Roman" w:cs="Times New Roman"/>
          <w:sz w:val="28"/>
        </w:rPr>
      </w:pPr>
      <w:r>
        <w:rPr>
          <w:rFonts w:ascii="Times New Roman" w:eastAsia="Times New Roman" w:hAnsi="Times New Roman" w:cs="Times New Roman"/>
          <w:sz w:val="28"/>
        </w:rPr>
        <w:lastRenderedPageBreak/>
        <w:t>Cheltuielile totale ale proiectului (la 31.03.2026)</w:t>
      </w:r>
    </w:p>
    <w:tbl>
      <w:tblPr>
        <w:tblW w:w="0" w:type="auto"/>
        <w:tblInd w:w="80" w:type="dxa"/>
        <w:tblCellMar>
          <w:left w:w="10" w:type="dxa"/>
          <w:right w:w="10" w:type="dxa"/>
        </w:tblCellMar>
        <w:tblLook w:val="04A0" w:firstRow="1" w:lastRow="0" w:firstColumn="1" w:lastColumn="0" w:noHBand="0" w:noVBand="1"/>
      </w:tblPr>
      <w:tblGrid>
        <w:gridCol w:w="5524"/>
        <w:gridCol w:w="1776"/>
        <w:gridCol w:w="1770"/>
      </w:tblGrid>
      <w:tr w:rsidR="00487605" w14:paraId="3C2C67F2" w14:textId="77777777">
        <w:tblPrEx>
          <w:tblCellMar>
            <w:top w:w="0" w:type="dxa"/>
            <w:bottom w:w="0" w:type="dxa"/>
          </w:tblCellMar>
        </w:tblPrEx>
        <w:trPr>
          <w:trHeight w:val="1"/>
        </w:trPr>
        <w:tc>
          <w:tcPr>
            <w:tcW w:w="5524"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tcPr>
          <w:p w14:paraId="57855E88" w14:textId="77777777" w:rsidR="00487605" w:rsidRDefault="00000000">
            <w:pPr>
              <w:spacing w:after="0" w:line="248" w:lineRule="auto"/>
            </w:pPr>
            <w:r>
              <w:rPr>
                <w:rFonts w:ascii="Times New Roman" w:eastAsia="Times New Roman" w:hAnsi="Times New Roman" w:cs="Times New Roman"/>
                <w:sz w:val="28"/>
              </w:rPr>
              <w:t>Categorie</w:t>
            </w:r>
          </w:p>
        </w:tc>
        <w:tc>
          <w:tcPr>
            <w:tcW w:w="1776"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tcPr>
          <w:p w14:paraId="32887614" w14:textId="77777777" w:rsidR="00487605" w:rsidRDefault="00000000">
            <w:pPr>
              <w:spacing w:after="0" w:line="248" w:lineRule="auto"/>
              <w:jc w:val="right"/>
            </w:pPr>
            <w:r>
              <w:rPr>
                <w:rFonts w:ascii="Times New Roman" w:eastAsia="Times New Roman" w:hAnsi="Times New Roman" w:cs="Times New Roman"/>
                <w:sz w:val="28"/>
              </w:rPr>
              <w:t>Valoare (USD)</w:t>
            </w:r>
          </w:p>
        </w:tc>
        <w:tc>
          <w:tcPr>
            <w:tcW w:w="1770"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tcPr>
          <w:p w14:paraId="38269B9B" w14:textId="77777777" w:rsidR="00487605" w:rsidRDefault="00000000">
            <w:pPr>
              <w:spacing w:after="0" w:line="248" w:lineRule="auto"/>
              <w:jc w:val="right"/>
            </w:pPr>
            <w:r>
              <w:rPr>
                <w:rFonts w:ascii="Times New Roman" w:eastAsia="Times New Roman" w:hAnsi="Times New Roman" w:cs="Times New Roman"/>
                <w:sz w:val="28"/>
              </w:rPr>
              <w:t>Pondere</w:t>
            </w:r>
          </w:p>
        </w:tc>
      </w:tr>
      <w:tr w:rsidR="00487605" w14:paraId="4C6B6256" w14:textId="77777777">
        <w:tblPrEx>
          <w:tblCellMar>
            <w:top w:w="0" w:type="dxa"/>
            <w:bottom w:w="0" w:type="dxa"/>
          </w:tblCellMar>
        </w:tblPrEx>
        <w:trPr>
          <w:trHeight w:val="1"/>
        </w:trPr>
        <w:tc>
          <w:tcPr>
            <w:tcW w:w="5524"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tcPr>
          <w:p w14:paraId="0E9C7234" w14:textId="77777777" w:rsidR="00487605" w:rsidRDefault="00000000">
            <w:pPr>
              <w:spacing w:after="0" w:line="248" w:lineRule="auto"/>
            </w:pPr>
            <w:r>
              <w:rPr>
                <w:rFonts w:ascii="Times New Roman" w:eastAsia="Times New Roman" w:hAnsi="Times New Roman" w:cs="Times New Roman"/>
                <w:sz w:val="28"/>
              </w:rPr>
              <w:t>Inginerie și costuri tehnice</w:t>
            </w:r>
          </w:p>
        </w:tc>
        <w:tc>
          <w:tcPr>
            <w:tcW w:w="1776"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tcPr>
          <w:p w14:paraId="22D5ECB7" w14:textId="77777777" w:rsidR="00487605" w:rsidRDefault="00000000">
            <w:pPr>
              <w:spacing w:after="0" w:line="248" w:lineRule="auto"/>
              <w:jc w:val="right"/>
            </w:pPr>
            <w:r>
              <w:rPr>
                <w:rFonts w:ascii="Times New Roman" w:eastAsia="Times New Roman" w:hAnsi="Times New Roman" w:cs="Times New Roman"/>
                <w:sz w:val="28"/>
              </w:rPr>
              <w:t>~208,4 mil.</w:t>
            </w:r>
          </w:p>
        </w:tc>
        <w:tc>
          <w:tcPr>
            <w:tcW w:w="1770"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tcPr>
          <w:p w14:paraId="03E6E853" w14:textId="77777777" w:rsidR="00487605" w:rsidRDefault="00000000">
            <w:pPr>
              <w:spacing w:after="0" w:line="248" w:lineRule="auto"/>
              <w:jc w:val="right"/>
            </w:pPr>
            <w:r>
              <w:rPr>
                <w:rFonts w:ascii="Times New Roman" w:eastAsia="Times New Roman" w:hAnsi="Times New Roman" w:cs="Times New Roman"/>
                <w:sz w:val="28"/>
              </w:rPr>
              <w:t>75,6%</w:t>
            </w:r>
          </w:p>
        </w:tc>
      </w:tr>
      <w:tr w:rsidR="00487605" w14:paraId="630CA262" w14:textId="77777777">
        <w:tblPrEx>
          <w:tblCellMar>
            <w:top w:w="0" w:type="dxa"/>
            <w:bottom w:w="0" w:type="dxa"/>
          </w:tblCellMar>
        </w:tblPrEx>
        <w:trPr>
          <w:trHeight w:val="1"/>
        </w:trPr>
        <w:tc>
          <w:tcPr>
            <w:tcW w:w="5524"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tcPr>
          <w:p w14:paraId="4EA86132" w14:textId="77777777" w:rsidR="00487605" w:rsidRDefault="00000000">
            <w:pPr>
              <w:spacing w:after="0" w:line="248" w:lineRule="auto"/>
            </w:pPr>
            <w:r>
              <w:rPr>
                <w:rFonts w:ascii="Times New Roman" w:eastAsia="Times New Roman" w:hAnsi="Times New Roman" w:cs="Times New Roman"/>
                <w:sz w:val="28"/>
              </w:rPr>
              <w:t>din care Project Management (faza FEED)</w:t>
            </w:r>
          </w:p>
        </w:tc>
        <w:tc>
          <w:tcPr>
            <w:tcW w:w="1776"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tcPr>
          <w:p w14:paraId="2CA5A0D8" w14:textId="77777777" w:rsidR="00487605" w:rsidRDefault="00000000">
            <w:pPr>
              <w:spacing w:after="0" w:line="248" w:lineRule="auto"/>
              <w:jc w:val="right"/>
            </w:pPr>
            <w:r>
              <w:rPr>
                <w:rFonts w:ascii="Times New Roman" w:eastAsia="Times New Roman" w:hAnsi="Times New Roman" w:cs="Times New Roman"/>
                <w:sz w:val="28"/>
              </w:rPr>
              <w:t>~166,4 mil.</w:t>
            </w:r>
          </w:p>
        </w:tc>
        <w:tc>
          <w:tcPr>
            <w:tcW w:w="1770"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tcPr>
          <w:p w14:paraId="69184499" w14:textId="77777777" w:rsidR="00487605" w:rsidRDefault="00487605">
            <w:pPr>
              <w:spacing w:after="0" w:line="248" w:lineRule="auto"/>
              <w:rPr>
                <w:rFonts w:ascii="Calibri" w:eastAsia="Calibri" w:hAnsi="Calibri" w:cs="Calibri"/>
                <w:sz w:val="22"/>
              </w:rPr>
            </w:pPr>
          </w:p>
        </w:tc>
      </w:tr>
      <w:tr w:rsidR="00487605" w14:paraId="3D65DD9F" w14:textId="77777777">
        <w:tblPrEx>
          <w:tblCellMar>
            <w:top w:w="0" w:type="dxa"/>
            <w:bottom w:w="0" w:type="dxa"/>
          </w:tblCellMar>
        </w:tblPrEx>
        <w:trPr>
          <w:trHeight w:val="1"/>
        </w:trPr>
        <w:tc>
          <w:tcPr>
            <w:tcW w:w="5524"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tcPr>
          <w:p w14:paraId="76BE6CA7" w14:textId="77777777" w:rsidR="00487605" w:rsidRDefault="00000000">
            <w:pPr>
              <w:spacing w:after="0" w:line="248" w:lineRule="auto"/>
            </w:pPr>
            <w:r>
              <w:rPr>
                <w:rFonts w:ascii="Times New Roman" w:eastAsia="Times New Roman" w:hAnsi="Times New Roman" w:cs="Times New Roman"/>
                <w:sz w:val="28"/>
              </w:rPr>
              <w:t xml:space="preserve">din care licența tehnologică </w:t>
            </w:r>
          </w:p>
        </w:tc>
        <w:tc>
          <w:tcPr>
            <w:tcW w:w="1776"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tcPr>
          <w:p w14:paraId="025B47D2" w14:textId="77777777" w:rsidR="00487605" w:rsidRDefault="00000000">
            <w:pPr>
              <w:spacing w:after="0" w:line="248" w:lineRule="auto"/>
              <w:jc w:val="right"/>
            </w:pPr>
            <w:r>
              <w:rPr>
                <w:rFonts w:ascii="Times New Roman" w:eastAsia="Times New Roman" w:hAnsi="Times New Roman" w:cs="Times New Roman"/>
                <w:sz w:val="28"/>
              </w:rPr>
              <w:t>~34,9 mil.</w:t>
            </w:r>
          </w:p>
        </w:tc>
        <w:tc>
          <w:tcPr>
            <w:tcW w:w="1770"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tcPr>
          <w:p w14:paraId="02DEEE3A" w14:textId="77777777" w:rsidR="00487605" w:rsidRDefault="00487605">
            <w:pPr>
              <w:spacing w:after="0" w:line="248" w:lineRule="auto"/>
              <w:rPr>
                <w:rFonts w:ascii="Calibri" w:eastAsia="Calibri" w:hAnsi="Calibri" w:cs="Calibri"/>
                <w:sz w:val="22"/>
              </w:rPr>
            </w:pPr>
          </w:p>
        </w:tc>
      </w:tr>
      <w:tr w:rsidR="00487605" w14:paraId="7A4EC281" w14:textId="77777777">
        <w:tblPrEx>
          <w:tblCellMar>
            <w:top w:w="0" w:type="dxa"/>
            <w:bottom w:w="0" w:type="dxa"/>
          </w:tblCellMar>
        </w:tblPrEx>
        <w:trPr>
          <w:trHeight w:val="1"/>
        </w:trPr>
        <w:tc>
          <w:tcPr>
            <w:tcW w:w="5524"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tcPr>
          <w:p w14:paraId="07F3F03B" w14:textId="77777777" w:rsidR="00487605" w:rsidRDefault="00000000">
            <w:pPr>
              <w:spacing w:after="0" w:line="248" w:lineRule="auto"/>
            </w:pPr>
            <w:r>
              <w:rPr>
                <w:rFonts w:ascii="Times New Roman" w:eastAsia="Times New Roman" w:hAnsi="Times New Roman" w:cs="Times New Roman"/>
                <w:sz w:val="28"/>
              </w:rPr>
              <w:t>din care CITON + inginerul beneficiarului (Owner's Engineer)</w:t>
            </w:r>
          </w:p>
        </w:tc>
        <w:tc>
          <w:tcPr>
            <w:tcW w:w="1776"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tcPr>
          <w:p w14:paraId="3453C09B" w14:textId="77777777" w:rsidR="00487605" w:rsidRDefault="00000000">
            <w:pPr>
              <w:spacing w:after="0" w:line="248" w:lineRule="auto"/>
              <w:jc w:val="right"/>
            </w:pPr>
            <w:r>
              <w:rPr>
                <w:rFonts w:ascii="Times New Roman" w:eastAsia="Times New Roman" w:hAnsi="Times New Roman" w:cs="Times New Roman"/>
                <w:sz w:val="28"/>
              </w:rPr>
              <w:t>~3,4 mil.</w:t>
            </w:r>
          </w:p>
        </w:tc>
        <w:tc>
          <w:tcPr>
            <w:tcW w:w="1770"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tcPr>
          <w:p w14:paraId="0C10C47E" w14:textId="77777777" w:rsidR="00487605" w:rsidRDefault="00487605">
            <w:pPr>
              <w:spacing w:after="0" w:line="248" w:lineRule="auto"/>
              <w:rPr>
                <w:rFonts w:ascii="Calibri" w:eastAsia="Calibri" w:hAnsi="Calibri" w:cs="Calibri"/>
                <w:sz w:val="22"/>
              </w:rPr>
            </w:pPr>
          </w:p>
        </w:tc>
      </w:tr>
      <w:tr w:rsidR="00487605" w14:paraId="2113A4BE" w14:textId="77777777">
        <w:tblPrEx>
          <w:tblCellMar>
            <w:top w:w="0" w:type="dxa"/>
            <w:bottom w:w="0" w:type="dxa"/>
          </w:tblCellMar>
        </w:tblPrEx>
        <w:trPr>
          <w:trHeight w:val="1"/>
        </w:trPr>
        <w:tc>
          <w:tcPr>
            <w:tcW w:w="5524"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tcPr>
          <w:p w14:paraId="3A88B990" w14:textId="77777777" w:rsidR="00487605" w:rsidRDefault="00000000">
            <w:pPr>
              <w:spacing w:after="0" w:line="248" w:lineRule="auto"/>
            </w:pPr>
            <w:r>
              <w:rPr>
                <w:rFonts w:ascii="Times New Roman" w:eastAsia="Times New Roman" w:hAnsi="Times New Roman" w:cs="Times New Roman"/>
                <w:sz w:val="28"/>
              </w:rPr>
              <w:t>din care autorizări, permise, studii și alte costuri tehnice</w:t>
            </w:r>
          </w:p>
        </w:tc>
        <w:tc>
          <w:tcPr>
            <w:tcW w:w="1776"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tcPr>
          <w:p w14:paraId="2A4395F7" w14:textId="77777777" w:rsidR="00487605" w:rsidRDefault="00000000">
            <w:pPr>
              <w:spacing w:after="0" w:line="248" w:lineRule="auto"/>
              <w:jc w:val="right"/>
            </w:pPr>
            <w:r>
              <w:rPr>
                <w:rFonts w:ascii="Times New Roman" w:eastAsia="Times New Roman" w:hAnsi="Times New Roman" w:cs="Times New Roman"/>
                <w:sz w:val="28"/>
              </w:rPr>
              <w:t>~3,6 mil.</w:t>
            </w:r>
          </w:p>
        </w:tc>
        <w:tc>
          <w:tcPr>
            <w:tcW w:w="1770"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tcPr>
          <w:p w14:paraId="7DDCF799" w14:textId="77777777" w:rsidR="00487605" w:rsidRDefault="00487605">
            <w:pPr>
              <w:spacing w:after="0" w:line="248" w:lineRule="auto"/>
              <w:rPr>
                <w:rFonts w:ascii="Calibri" w:eastAsia="Calibri" w:hAnsi="Calibri" w:cs="Calibri"/>
                <w:sz w:val="22"/>
              </w:rPr>
            </w:pPr>
          </w:p>
        </w:tc>
      </w:tr>
      <w:tr w:rsidR="00487605" w14:paraId="7D48DC12" w14:textId="77777777">
        <w:tblPrEx>
          <w:tblCellMar>
            <w:top w:w="0" w:type="dxa"/>
            <w:bottom w:w="0" w:type="dxa"/>
          </w:tblCellMar>
        </w:tblPrEx>
        <w:trPr>
          <w:trHeight w:val="1"/>
        </w:trPr>
        <w:tc>
          <w:tcPr>
            <w:tcW w:w="5524"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tcPr>
          <w:p w14:paraId="09A3BFC1" w14:textId="77777777" w:rsidR="00487605" w:rsidRDefault="00000000">
            <w:pPr>
              <w:spacing w:after="0" w:line="248" w:lineRule="auto"/>
            </w:pPr>
            <w:r>
              <w:rPr>
                <w:rFonts w:ascii="Times New Roman" w:eastAsia="Times New Roman" w:hAnsi="Times New Roman" w:cs="Times New Roman"/>
                <w:sz w:val="28"/>
              </w:rPr>
              <w:t>Achiziția amplasamentului + refacturare + taxe</w:t>
            </w:r>
          </w:p>
        </w:tc>
        <w:tc>
          <w:tcPr>
            <w:tcW w:w="1776"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tcPr>
          <w:p w14:paraId="6A000176" w14:textId="77777777" w:rsidR="00487605" w:rsidRDefault="00000000">
            <w:pPr>
              <w:spacing w:after="0" w:line="248" w:lineRule="auto"/>
              <w:jc w:val="right"/>
            </w:pPr>
            <w:r>
              <w:rPr>
                <w:rFonts w:ascii="Times New Roman" w:eastAsia="Times New Roman" w:hAnsi="Times New Roman" w:cs="Times New Roman"/>
                <w:sz w:val="28"/>
              </w:rPr>
              <w:t>~50,5 mil.</w:t>
            </w:r>
          </w:p>
        </w:tc>
        <w:tc>
          <w:tcPr>
            <w:tcW w:w="1770"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tcPr>
          <w:p w14:paraId="1D450E78" w14:textId="77777777" w:rsidR="00487605" w:rsidRDefault="00000000">
            <w:pPr>
              <w:spacing w:after="0" w:line="248" w:lineRule="auto"/>
              <w:jc w:val="right"/>
            </w:pPr>
            <w:r>
              <w:rPr>
                <w:rFonts w:ascii="Times New Roman" w:eastAsia="Times New Roman" w:hAnsi="Times New Roman" w:cs="Times New Roman"/>
                <w:sz w:val="28"/>
              </w:rPr>
              <w:t>18,3%</w:t>
            </w:r>
          </w:p>
        </w:tc>
      </w:tr>
      <w:tr w:rsidR="00487605" w14:paraId="6C73006F" w14:textId="77777777">
        <w:tblPrEx>
          <w:tblCellMar>
            <w:top w:w="0" w:type="dxa"/>
            <w:bottom w:w="0" w:type="dxa"/>
          </w:tblCellMar>
        </w:tblPrEx>
        <w:trPr>
          <w:trHeight w:val="1"/>
        </w:trPr>
        <w:tc>
          <w:tcPr>
            <w:tcW w:w="5524"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tcPr>
          <w:p w14:paraId="6F2F8D81" w14:textId="77777777" w:rsidR="00487605" w:rsidRDefault="00000000">
            <w:pPr>
              <w:spacing w:after="0" w:line="248" w:lineRule="auto"/>
            </w:pPr>
            <w:r>
              <w:rPr>
                <w:rFonts w:ascii="Times New Roman" w:eastAsia="Times New Roman" w:hAnsi="Times New Roman" w:cs="Times New Roman"/>
                <w:sz w:val="28"/>
              </w:rPr>
              <w:t>Funcționarea companiei (OPEX)</w:t>
            </w:r>
          </w:p>
        </w:tc>
        <w:tc>
          <w:tcPr>
            <w:tcW w:w="1776"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tcPr>
          <w:p w14:paraId="0E548E85" w14:textId="77777777" w:rsidR="00487605" w:rsidRDefault="00000000">
            <w:pPr>
              <w:spacing w:after="0" w:line="248" w:lineRule="auto"/>
              <w:jc w:val="right"/>
            </w:pPr>
            <w:r>
              <w:rPr>
                <w:rFonts w:ascii="Times New Roman" w:eastAsia="Times New Roman" w:hAnsi="Times New Roman" w:cs="Times New Roman"/>
                <w:sz w:val="28"/>
              </w:rPr>
              <w:t>~16,9 mil.</w:t>
            </w:r>
          </w:p>
        </w:tc>
        <w:tc>
          <w:tcPr>
            <w:tcW w:w="1770"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tcPr>
          <w:p w14:paraId="5CEC3325" w14:textId="77777777" w:rsidR="00487605" w:rsidRDefault="00000000">
            <w:pPr>
              <w:spacing w:after="0" w:line="248" w:lineRule="auto"/>
              <w:jc w:val="right"/>
            </w:pPr>
            <w:r>
              <w:rPr>
                <w:rFonts w:ascii="Times New Roman" w:eastAsia="Times New Roman" w:hAnsi="Times New Roman" w:cs="Times New Roman"/>
                <w:sz w:val="28"/>
              </w:rPr>
              <w:t>6,1%</w:t>
            </w:r>
          </w:p>
        </w:tc>
      </w:tr>
      <w:tr w:rsidR="00487605" w14:paraId="3980E5A1" w14:textId="77777777">
        <w:tblPrEx>
          <w:tblCellMar>
            <w:top w:w="0" w:type="dxa"/>
            <w:bottom w:w="0" w:type="dxa"/>
          </w:tblCellMar>
        </w:tblPrEx>
        <w:trPr>
          <w:trHeight w:val="1"/>
        </w:trPr>
        <w:tc>
          <w:tcPr>
            <w:tcW w:w="5524"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tcPr>
          <w:p w14:paraId="12E4950B" w14:textId="77777777" w:rsidR="00487605" w:rsidRDefault="00000000">
            <w:pPr>
              <w:spacing w:after="0" w:line="248" w:lineRule="auto"/>
            </w:pPr>
            <w:r>
              <w:rPr>
                <w:rFonts w:ascii="Times New Roman" w:eastAsia="Times New Roman" w:hAnsi="Times New Roman" w:cs="Times New Roman"/>
                <w:sz w:val="28"/>
              </w:rPr>
              <w:t>TOTAL</w:t>
            </w:r>
          </w:p>
        </w:tc>
        <w:tc>
          <w:tcPr>
            <w:tcW w:w="1776"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tcPr>
          <w:p w14:paraId="66367E11" w14:textId="77777777" w:rsidR="00487605" w:rsidRDefault="00000000">
            <w:pPr>
              <w:spacing w:after="0" w:line="248" w:lineRule="auto"/>
              <w:jc w:val="right"/>
            </w:pPr>
            <w:r>
              <w:rPr>
                <w:rFonts w:ascii="Times New Roman" w:eastAsia="Times New Roman" w:hAnsi="Times New Roman" w:cs="Times New Roman"/>
                <w:sz w:val="28"/>
              </w:rPr>
              <w:t>~275,8 mil.</w:t>
            </w:r>
          </w:p>
        </w:tc>
        <w:tc>
          <w:tcPr>
            <w:tcW w:w="1770" w:type="dxa"/>
            <w:tcBorders>
              <w:top w:val="single" w:sz="4" w:space="0" w:color="000000"/>
              <w:left w:val="single" w:sz="4" w:space="0" w:color="000000"/>
              <w:bottom w:val="single" w:sz="4" w:space="0" w:color="000000"/>
              <w:right w:val="single" w:sz="4" w:space="0" w:color="000000"/>
            </w:tcBorders>
            <w:shd w:val="clear" w:color="000000" w:fill="FFFFFF"/>
            <w:tcMar>
              <w:left w:w="80" w:type="dxa"/>
              <w:right w:w="80" w:type="dxa"/>
            </w:tcMar>
          </w:tcPr>
          <w:p w14:paraId="538F3F6C" w14:textId="77777777" w:rsidR="00487605" w:rsidRDefault="00000000">
            <w:pPr>
              <w:spacing w:after="0" w:line="248" w:lineRule="auto"/>
              <w:jc w:val="right"/>
            </w:pPr>
            <w:r>
              <w:rPr>
                <w:rFonts w:ascii="Times New Roman" w:eastAsia="Times New Roman" w:hAnsi="Times New Roman" w:cs="Times New Roman"/>
                <w:sz w:val="28"/>
              </w:rPr>
              <w:t>100%</w:t>
            </w:r>
          </w:p>
        </w:tc>
      </w:tr>
    </w:tbl>
    <w:p w14:paraId="20F631B3" w14:textId="77777777" w:rsidR="00487605" w:rsidRDefault="00487605">
      <w:pPr>
        <w:spacing w:before="260" w:after="120" w:line="312" w:lineRule="auto"/>
        <w:rPr>
          <w:rFonts w:ascii="Times New Roman" w:eastAsia="Times New Roman" w:hAnsi="Times New Roman" w:cs="Times New Roman"/>
          <w:sz w:val="28"/>
        </w:rPr>
      </w:pPr>
    </w:p>
    <w:p w14:paraId="1FDD5C32" w14:textId="77777777" w:rsidR="00487605" w:rsidRDefault="00000000">
      <w:pPr>
        <w:spacing w:before="260" w:after="120" w:line="312" w:lineRule="auto"/>
        <w:rPr>
          <w:rFonts w:ascii="Times New Roman" w:eastAsia="Times New Roman" w:hAnsi="Times New Roman" w:cs="Times New Roman"/>
          <w:sz w:val="28"/>
        </w:rPr>
      </w:pPr>
      <w:r>
        <w:rPr>
          <w:rFonts w:ascii="Times New Roman" w:eastAsia="Times New Roman" w:hAnsi="Times New Roman" w:cs="Times New Roman"/>
          <w:sz w:val="28"/>
        </w:rPr>
        <w:t>Entitățile implicate și termeni</w:t>
      </w:r>
    </w:p>
    <w:p w14:paraId="0A26BE89" w14:textId="77777777" w:rsidR="00487605" w:rsidRDefault="00000000">
      <w:pPr>
        <w:numPr>
          <w:ilvl w:val="0"/>
          <w:numId w:val="1"/>
        </w:numPr>
        <w:spacing w:after="100" w:line="312"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Nuclearelectrica (SNN) - companie cu capital majoritar de stat, sub autoritatea Ministerului Energiei; operatorul centralei de la Cernavodă. În proiect: coacționar (50%) și finanțatorul achiziției, prin împrumuturi de acționar.</w:t>
      </w:r>
    </w:p>
    <w:p w14:paraId="0B68557B" w14:textId="77777777" w:rsidR="00487605" w:rsidRDefault="00000000">
      <w:pPr>
        <w:numPr>
          <w:ilvl w:val="0"/>
          <w:numId w:val="1"/>
        </w:numPr>
        <w:spacing w:after="100" w:line="312"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Nova Power &amp; Gas (Nova) - societate privată din grupul de construcții și infrastructură energetică E-Infra (din care face parte și Electrogrup). A fost proprietara terenului de la Doicești; coacționar (50%) al companiei de proiect.</w:t>
      </w:r>
    </w:p>
    <w:p w14:paraId="3CA3FCA4" w14:textId="77777777" w:rsidR="00487605" w:rsidRDefault="00000000">
      <w:pPr>
        <w:numPr>
          <w:ilvl w:val="0"/>
          <w:numId w:val="1"/>
        </w:numPr>
        <w:spacing w:after="100" w:line="312"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RoPower Nuclear (RoPower) - compania de proiect (înființată în septembrie 2022), deținută în cote egale (50%-50%) de Nuclearelectrica și Nova, pentru dezvoltarea centralei cu reactoare modulare mici de la Doicești.</w:t>
      </w:r>
    </w:p>
    <w:p w14:paraId="7A1FF8D1" w14:textId="77777777" w:rsidR="00487605" w:rsidRDefault="00000000">
      <w:pPr>
        <w:numPr>
          <w:ilvl w:val="0"/>
          <w:numId w:val="1"/>
        </w:numPr>
        <w:spacing w:after="100" w:line="312"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USTDA - agenția americană pentru comerț și dezvoltare, care a finanțat studiul de selecție a amplasamentului (1,2 mil. USD).</w:t>
      </w:r>
    </w:p>
    <w:p w14:paraId="37995094" w14:textId="77777777" w:rsidR="00487605" w:rsidRDefault="00000000">
      <w:pPr>
        <w:numPr>
          <w:ilvl w:val="0"/>
          <w:numId w:val="1"/>
        </w:numPr>
        <w:spacing w:after="100" w:line="312"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 xml:space="preserve">CITON (RATEN-CITON) - Centrul de Inginerie Tehnologică pentru Obiective Nucleare, sucursală a Regiei Autonome „Tehnologii pentru </w:t>
      </w:r>
      <w:r>
        <w:rPr>
          <w:rFonts w:ascii="Times New Roman" w:eastAsia="Times New Roman" w:hAnsi="Times New Roman" w:cs="Times New Roman"/>
          <w:sz w:val="28"/>
        </w:rPr>
        <w:lastRenderedPageBreak/>
        <w:t>Energia Nucleară” (RATEN), aflată sub autoritatea Ministerului Energiei. Entitate de stat. În dosar: subcontractant al Sargent &amp; Lundy la selecția amplasamentului, furnizor de inginerie și autor al unor opinii privind costurile refacturate - opinii pe care raportul le-a considerat neavenite (CITON nu este evaluator autorizat), iar CITON însuși le-a descris drept „ipoteze furnizate de Nova”.</w:t>
      </w:r>
    </w:p>
    <w:p w14:paraId="0FB511EA" w14:textId="77777777" w:rsidR="00487605" w:rsidRDefault="00487605">
      <w:pPr>
        <w:spacing w:before="60" w:after="60" w:line="300" w:lineRule="auto"/>
        <w:rPr>
          <w:rFonts w:ascii="Times New Roman" w:eastAsia="Times New Roman" w:hAnsi="Times New Roman" w:cs="Times New Roman"/>
          <w:sz w:val="28"/>
        </w:rPr>
      </w:pPr>
    </w:p>
    <w:sectPr w:rsidR="004876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B22E50"/>
    <w:multiLevelType w:val="multilevel"/>
    <w:tmpl w:val="E724F28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629183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605"/>
    <w:rsid w:val="001D049E"/>
    <w:rsid w:val="00236A12"/>
    <w:rsid w:val="004876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C0133"/>
  <w15:docId w15:val="{5A7CD04A-AF7C-4E61-8EDD-013F1BF57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control.gov.ro/ro/sinteza-raportului-de-control-efectuat-la-societatea-nationala-nuclearelectrica-s-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2313</Words>
  <Characters>13186</Characters>
  <Application>Microsoft Office Word</Application>
  <DocSecurity>0</DocSecurity>
  <Lines>109</Lines>
  <Paragraphs>30</Paragraphs>
  <ScaleCrop>false</ScaleCrop>
  <Company/>
  <LinksUpToDate>false</LinksUpToDate>
  <CharactersWithSpaces>15469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PC003</dc:creator>
  <cp:lastModifiedBy>PC003</cp:lastModifiedBy>
  <cp:revision>2</cp:revision>
  <dcterms:created xsi:type="dcterms:W3CDTF">2026-07-27T18:36:00Z</dcterms:created>
  <dcterms:modified xsi:type="dcterms:W3CDTF">2026-07-27T18:36:00Z</dcterms:modified>
</cp:coreProperties>
</file>